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>
      <w:pPr>
        <w:jc w:val="center"/>
        <w:rPr>
          <w:rFonts w:ascii="宋体" w:cs="Times New Roman" w:hAnsi="宋体"/>
          <w:b/>
          <w:sz w:val="44"/>
          <w:szCs w:val="44"/>
        </w:rPr>
      </w:pPr>
      <w:r>
        <w:rPr>
          <w:rFonts w:ascii="宋体" w:cs="Times New Roman" w:hAnsi="宋体"/>
          <w:b/>
          <w:sz w:val="44"/>
          <w:szCs w:val="44"/>
        </w:rPr>
        <w:t>唐山市丰南区供销合作社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（2024年度）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评价方式：</w:t>
      </w:r>
      <w:r>
        <w:rPr>
          <w:rFonts w:ascii="宋体" w:eastAsia="仿宋" w:cs="Times New Roman" w:hAnsi="宋体"/>
          <w:b/>
          <w:sz w:val="44"/>
          <w:szCs w:val="44"/>
        </w:rPr>
        <w:sym w:font="Wingdings 2" w:char="F052"/>
      </w:r>
      <w:r>
        <w:rPr>
          <w:rFonts w:ascii="宋体" w:eastAsia="仿宋" w:cs="Times New Roman" w:hAnsi="宋体"/>
          <w:b/>
          <w:sz w:val="32"/>
          <w:szCs w:val="32"/>
        </w:rPr>
        <w:t xml:space="preserve">直接组织评价        </w:t>
      </w:r>
      <w:r>
        <w:rPr>
          <w:rFonts w:ascii="宋体" w:eastAsia="仿宋" w:cs="Times New Roman" w:hAnsi="宋体"/>
          <w:b/>
          <w:sz w:val="44"/>
          <w:szCs w:val="44"/>
        </w:rPr>
        <w:t>□</w:t>
      </w:r>
      <w:r>
        <w:rPr>
          <w:rFonts w:ascii="宋体" w:eastAsia="仿宋" w:cs="Times New Roman" w:hAnsi="宋体"/>
          <w:b/>
          <w:sz w:val="32"/>
          <w:szCs w:val="32"/>
        </w:rPr>
        <w:t>委托评价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  <w:u w:val="single"/>
        </w:rPr>
      </w:pPr>
      <w:r>
        <w:rPr>
          <w:rFonts w:ascii="宋体" w:eastAsia="仿宋" w:cs="Times New Roman" w:hAnsi="宋体"/>
          <w:b/>
          <w:sz w:val="32"/>
          <w:szCs w:val="32"/>
        </w:rPr>
        <w:t>部门名称：</w:t>
      </w:r>
      <w:r>
        <w:rPr>
          <w:rFonts w:ascii="宋体" w:eastAsia="仿宋" w:cs="Times New Roman" w:hAnsi="宋体"/>
          <w:b/>
          <w:sz w:val="32"/>
          <w:szCs w:val="32"/>
          <w:u w:val="single"/>
        </w:rPr>
        <w:t xml:space="preserve"> 唐山市丰南区供销合作社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</w:rPr>
        <w:t xml:space="preserve"> （加盖公章）</w:t>
      </w: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联系电话：</w:t>
      </w:r>
      <w:r>
        <w:rPr>
          <w:rFonts w:ascii="宋体" w:eastAsia="仿宋" w:cs="Times New Roman" w:hAnsi="仿宋" w:hint="eastAsia"/>
          <w:b/>
          <w:bCs/>
          <w:sz w:val="32"/>
          <w:szCs w:val="32"/>
          <w:lang w:val="en-US" w:eastAsia="zh-CN"/>
        </w:rPr>
        <w:t>8073283</w:t>
      </w: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jc w:val="center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填报日期</w:t>
      </w:r>
      <w:r>
        <w:rPr>
          <w:rFonts w:ascii="宋体" w:eastAsia="仿宋" w:cs="Times New Roman" w:hAnsi="宋体" w:hint="eastAsia"/>
          <w:b/>
          <w:sz w:val="32"/>
          <w:szCs w:val="32"/>
        </w:rPr>
        <w:t>：202</w:t>
      </w:r>
      <w:r>
        <w:rPr>
          <w:rFonts w:ascii="宋体" w:eastAsia="仿宋" w:cs="Times New Roman" w:hAnsi="宋体"/>
          <w:b/>
          <w:sz w:val="32"/>
          <w:szCs w:val="32"/>
        </w:rPr>
        <w:t>5 年 2月</w:t>
      </w:r>
      <w:r>
        <w:rPr>
          <w:rFonts w:ascii="宋体" w:eastAsia="仿宋" w:cs="Times New Roman" w:hAnsi="宋体"/>
          <w:b/>
          <w:sz w:val="32"/>
          <w:szCs w:val="32"/>
          <w:shd w:val="solid" w:color="FF0000" w:fill="FFFFFF"/>
        </w:rPr>
        <w:t>26</w:t>
      </w:r>
      <w:r>
        <w:rPr>
          <w:rFonts w:ascii="宋体" w:eastAsia="仿宋" w:cs="Times New Roman" w:hAnsi="宋体"/>
          <w:b/>
          <w:sz w:val="32"/>
          <w:szCs w:val="32"/>
        </w:rPr>
        <w:t>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部门</w:t>
      </w:r>
      <w:r>
        <w:rPr>
          <w:rFonts w:ascii="宋体" w:eastAsia="黑体" w:cs="Times New Roman" w:hAnsi="宋体" w:hint="eastAsia"/>
          <w:b/>
          <w:sz w:val="30"/>
          <w:szCs w:val="30"/>
        </w:rPr>
        <w:t>整体</w:t>
      </w:r>
      <w:r>
        <w:rPr>
          <w:rFonts w:ascii="宋体" w:eastAsia="黑体" w:cs="Times New Roman" w:hAnsi="宋体"/>
          <w:b/>
          <w:sz w:val="30"/>
          <w:szCs w:val="30"/>
        </w:rPr>
        <w:t>概况</w:t>
      </w:r>
    </w:p>
    <w:p>
      <w:pPr>
        <w:numPr>
          <w:ilvl w:val="0"/>
          <w:numId w:val="2"/>
        </w:numPr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部门主要职责职能及人员情况</w:t>
      </w:r>
    </w:p>
    <w:p>
      <w:pPr>
        <w:ind w:firstLineChars="250" w:firstLine="750"/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</w:pP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按照政府制授权对食盐、重要农业生产资料、农副产品的经营进行组织、协调和管理，承担政府委托的公益性服务和其他任务，负责管理政府委托的重要物资、商品的储备工作；受本级政府委托负责全区烟花爆竹批发业务；指导所属盐业专营企业做好食盐批发经营工作。协调同有关部门的关系，指导全区供销合作社业务活动，支持系统发展电子商务和开展农村合作金融服务，指导推进全区农村产权交易体系建设和管理，指导系统领办创办农民专业合作社，更好履行为农服务职责。</w:t>
      </w:r>
    </w:p>
    <w:p>
      <w:pPr>
        <w:ind w:firstLineChars="250" w:firstLine="75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2024年在职人员</w:t>
      </w:r>
      <w:r>
        <w:rPr>
          <w:rFonts w:ascii="宋体" w:eastAsia="仿宋" w:cs="Times New Roman" w:hAnsi="宋体" w:hint="eastAsia"/>
          <w:b/>
          <w:color w:val="0000FF"/>
          <w:sz w:val="30"/>
          <w:szCs w:val="30"/>
          <w:lang w:val="en-US" w:eastAsia="zh-CN" w:bidi="ar-SA"/>
        </w:rPr>
        <w:t>6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人，退休人员</w:t>
      </w:r>
      <w:r>
        <w:rPr>
          <w:rFonts w:ascii="宋体" w:eastAsia="仿宋" w:cs="Times New Roman" w:hAnsi="宋体" w:hint="eastAsia"/>
          <w:b/>
          <w:color w:val="0000FF"/>
          <w:sz w:val="30"/>
          <w:szCs w:val="30"/>
          <w:lang w:val="en-US" w:eastAsia="zh-CN" w:bidi="ar-SA"/>
        </w:rPr>
        <w:t>26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人。</w:t>
      </w:r>
    </w:p>
    <w:p>
      <w:pPr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（二）部门预算执行情况等</w:t>
      </w:r>
    </w:p>
    <w:p>
      <w:pPr>
        <w:spacing w:line="540" w:lineRule="exact"/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本部门2024年度申请预算</w:t>
      </w:r>
      <w:r>
        <w:rPr>
          <w:rFonts w:ascii="宋体" w:eastAsia="仿宋" w:cs="Times New Roman" w:hAnsi="宋体" w:hint="eastAsia"/>
          <w:b/>
          <w:sz w:val="30"/>
          <w:szCs w:val="30"/>
        </w:rPr>
        <w:t>资金</w:t>
      </w:r>
      <w:r>
        <w:rPr>
          <w:rFonts w:ascii="宋体" w:eastAsia="仿宋" w:cs="Times New Roman" w:hAnsi="宋体" w:hint="eastAsia"/>
          <w:b/>
          <w:color w:val="0000FF"/>
          <w:sz w:val="30"/>
          <w:szCs w:val="30"/>
        </w:rPr>
        <w:t>222.137788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</w:t>
      </w:r>
      <w:r>
        <w:rPr>
          <w:rFonts w:ascii="宋体" w:eastAsia="仿宋" w:cs="Times New Roman" w:hAnsi="宋体"/>
          <w:b/>
          <w:sz w:val="30"/>
          <w:szCs w:val="30"/>
        </w:rPr>
        <w:t>其中：共同财政事权转移支付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0</w:t>
      </w:r>
      <w:r>
        <w:rPr>
          <w:rFonts w:ascii="宋体" w:eastAsia="仿宋" w:cs="Times New Roman" w:hAnsi="宋体"/>
          <w:b/>
          <w:sz w:val="30"/>
          <w:szCs w:val="30"/>
        </w:rPr>
        <w:t>万元（包含中央0万元、省0万元、市0万元、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区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0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万元</w:t>
      </w:r>
      <w:r>
        <w:rPr>
          <w:rFonts w:ascii="宋体" w:eastAsia="仿宋" w:cs="Times New Roman" w:hAnsi="宋体"/>
          <w:b/>
          <w:sz w:val="30"/>
          <w:szCs w:val="30"/>
        </w:rPr>
        <w:t>），专项转移支付0万元（包含中央0万元、省0万元、市0万元），债券资金0万元；</w:t>
      </w:r>
      <w:r>
        <w:rPr>
          <w:rFonts w:ascii="宋体" w:eastAsia="仿宋" w:cs="Times New Roman" w:hAnsi="宋体" w:hint="eastAsia"/>
          <w:b/>
          <w:sz w:val="30"/>
          <w:szCs w:val="30"/>
        </w:rPr>
        <w:t>实际支出</w:t>
      </w:r>
      <w:r>
        <w:rPr>
          <w:rFonts w:ascii="宋体" w:eastAsia="仿宋" w:cs="Times New Roman" w:hAnsi="宋体" w:hint="eastAsia"/>
          <w:b/>
          <w:color w:val="0000FF"/>
          <w:sz w:val="30"/>
          <w:szCs w:val="30"/>
        </w:rPr>
        <w:t>222.137788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</w:t>
      </w:r>
      <w:r>
        <w:rPr>
          <w:rFonts w:ascii="宋体" w:eastAsia="仿宋" w:cs="Times New Roman" w:hAnsi="宋体"/>
          <w:b/>
          <w:sz w:val="30"/>
          <w:szCs w:val="30"/>
        </w:rPr>
        <w:t>其中：共同财政事权转移支付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0</w:t>
      </w:r>
      <w:r>
        <w:rPr>
          <w:rFonts w:ascii="宋体" w:eastAsia="仿宋" w:cs="Times New Roman" w:hAnsi="宋体"/>
          <w:b/>
          <w:sz w:val="30"/>
          <w:szCs w:val="30"/>
        </w:rPr>
        <w:t>万元（包含中央0万元、省0万元、市0万元、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区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0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万元</w:t>
      </w:r>
      <w:r>
        <w:rPr>
          <w:rFonts w:ascii="宋体" w:eastAsia="仿宋" w:cs="Times New Roman" w:hAnsi="宋体"/>
          <w:b/>
          <w:sz w:val="30"/>
          <w:szCs w:val="30"/>
        </w:rPr>
        <w:t>），专项转移支付0万元（包含中央0万元、省0万元、市0万元），债券资金0万元；</w:t>
      </w:r>
      <w:r>
        <w:rPr>
          <w:rFonts w:ascii="宋体" w:eastAsia="仿宋" w:cs="Times New Roman" w:hAnsi="宋体" w:hint="eastAsia"/>
          <w:b/>
          <w:sz w:val="30"/>
          <w:szCs w:val="30"/>
        </w:rPr>
        <w:t>预算执行率</w:t>
      </w:r>
      <w:r>
        <w:rPr>
          <w:rFonts w:ascii="宋体" w:eastAsia="仿宋" w:cs="Times New Roman" w:hAnsi="宋体"/>
          <w:b/>
          <w:sz w:val="30"/>
          <w:szCs w:val="30"/>
        </w:rPr>
        <w:t>100%</w:t>
      </w:r>
      <w:r>
        <w:rPr>
          <w:rFonts w:ascii="宋体" w:eastAsia="仿宋" w:cs="Times New Roman" w:hAnsi="宋体" w:hint="eastAsia"/>
          <w:b/>
          <w:sz w:val="30"/>
          <w:szCs w:val="30"/>
        </w:rPr>
        <w:t>。其中：</w:t>
      </w:r>
      <w:r>
        <w:rPr>
          <w:rFonts w:ascii="宋体" w:eastAsia="仿宋" w:cs="Times New Roman" w:hAnsi="宋体"/>
          <w:b/>
          <w:sz w:val="30"/>
          <w:szCs w:val="30"/>
        </w:rPr>
        <w:t>项目3个（与部门开展项目自评个数相同），金额合计</w:t>
      </w:r>
      <w:r>
        <w:rPr>
          <w:rFonts w:ascii="宋体" w:eastAsia="仿宋" w:cs="Times New Roman" w:hAnsi="宋体" w:hint="eastAsia"/>
          <w:b/>
          <w:color w:val="0000FF"/>
          <w:sz w:val="30"/>
          <w:szCs w:val="30"/>
        </w:rPr>
        <w:t>64.680888</w:t>
      </w:r>
      <w:r>
        <w:rPr>
          <w:rFonts w:ascii="宋体" w:eastAsia="仿宋" w:cs="Times New Roman" w:hAnsi="宋体"/>
          <w:b/>
          <w:sz w:val="30"/>
          <w:szCs w:val="30"/>
        </w:rPr>
        <w:t>万元（与部门开展项目自评金额合计相同），实际</w:t>
      </w:r>
      <w:r>
        <w:rPr>
          <w:rFonts w:ascii="宋体" w:eastAsia="仿宋" w:cs="Times New Roman" w:hAnsi="宋体" w:hint="eastAsia"/>
          <w:b/>
          <w:sz w:val="30"/>
          <w:szCs w:val="30"/>
        </w:rPr>
        <w:t>支出</w:t>
      </w:r>
      <w:r>
        <w:rPr>
          <w:rFonts w:ascii="宋体" w:eastAsia="仿宋" w:cs="Times New Roman" w:hAnsi="宋体" w:hint="eastAsia"/>
          <w:b/>
          <w:color w:val="0000FF"/>
          <w:sz w:val="30"/>
          <w:szCs w:val="30"/>
        </w:rPr>
        <w:t>64.680888</w:t>
      </w:r>
      <w:r>
        <w:rPr>
          <w:rFonts w:ascii="宋体" w:eastAsia="仿宋" w:cs="Times New Roman" w:hAnsi="宋体"/>
          <w:b/>
          <w:sz w:val="30"/>
          <w:szCs w:val="30"/>
        </w:rPr>
        <w:t>万元，执行率为100%。</w:t>
      </w:r>
    </w:p>
    <w:p>
      <w:p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二、绩效评价组织情况</w:t>
      </w:r>
    </w:p>
    <w:p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</w:pP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区社高度重视绩效自评工作，充分认识到此项工作的重要性和必要性，精心安排部署由相关业务科室具体负责，组织相关业务人员积极开展此项工作。根据工作要求，确定了自评的项目及资金，规范了工作内容，确保绩效自评工作有章可循，有序开展。202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4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年，区社年度申请预算资金</w:t>
      </w:r>
      <w:r>
        <w:rPr>
          <w:rFonts w:ascii="宋体" w:eastAsia="仿宋" w:cs="Times New Roman" w:hAnsi="宋体"/>
          <w:b/>
          <w:sz w:val="30"/>
          <w:szCs w:val="30"/>
        </w:rPr>
        <w:t>222.137788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万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元，其中实际完成绩效项目评价3个，合计项目资金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为64.680888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万元。由相关业务科室对单位绩效自评工作进行督查、复审。经过汇审后，将评价报告上报预算主管科室。</w:t>
      </w:r>
    </w:p>
    <w:p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三、</w:t>
      </w:r>
      <w:r>
        <w:rPr>
          <w:rFonts w:ascii="宋体" w:eastAsia="黑体" w:cs="Times New Roman" w:hAnsi="宋体" w:hint="eastAsia"/>
          <w:b/>
          <w:sz w:val="30"/>
          <w:szCs w:val="30"/>
        </w:rPr>
        <w:t>部门绩效管理开展的整体绩效实现情况</w:t>
      </w:r>
    </w:p>
    <w:p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</w:pP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202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4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年，对照年初目标任务，整体工作达到既定目标，各项工作任务全面或超额完成，财政资金支出效果显著，充分发挥其作用，服务对象和社会满意率达到100%，得到了社会的广泛认可。</w:t>
      </w:r>
    </w:p>
    <w:p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</w:pP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（一）基本支出：202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4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年基本支出</w:t>
      </w:r>
      <w:r>
        <w:rPr>
          <w:rFonts w:ascii="宋体" w:eastAsia="仿宋" w:cs="Times New Roman" w:hAnsi="宋体"/>
          <w:b/>
          <w:color w:val="0000FF"/>
          <w:sz w:val="30"/>
          <w:szCs w:val="30"/>
          <w:lang w:val="en-US" w:eastAsia="zh-CN" w:bidi="ar-SA"/>
        </w:rPr>
        <w:t>157.4569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万元，主要用于在职人员基本工资、津贴补贴、奖励金和完成日常工作任务而发生的各项支出，包括日常公用经费等，确保单位正常运转。预算执行率为100%，资金已按进度及时支付，总体绩效目标全面完成。</w:t>
      </w:r>
    </w:p>
    <w:p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（二）区社共有3个项目支出，总资金为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64.680888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万元。其中劳务派遣人员办公经费2.8万元、退休人员医疗保险及遗属补助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16.103548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万元、劳务派遣人员经费（劳务费）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>45.77734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 w:bidi="ar-SA"/>
        </w:rPr>
        <w:t>万元，项目实施率均为100％。项目资金已按进度及时支付，总体绩效目标全面完成。</w:t>
      </w:r>
      <w:r>
        <w:rPr>
          <w:rFonts w:ascii="宋体" w:eastAsia="仿宋" w:cs="Times New Roman" w:hAnsi="宋体"/>
          <w:b/>
          <w:sz w:val="30"/>
          <w:szCs w:val="30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四、存在的问题和建议</w:t>
      </w:r>
    </w:p>
    <w:p>
      <w:pPr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无</w:t>
      </w:r>
    </w:p>
    <w:p>
      <w:pPr>
        <w:ind w:firstLineChars="200" w:firstLine="600"/>
        <w:rPr>
          <w:rFonts w:ascii="宋体" w:eastAsia="黑体" w:cs="Times New Roman" w:hAnsi="宋体"/>
          <w:b/>
          <w:bCs/>
          <w:sz w:val="30"/>
          <w:szCs w:val="30"/>
        </w:rPr>
      </w:pPr>
      <w:r>
        <w:rPr>
          <w:rFonts w:ascii="宋体" w:eastAsia="黑体" w:cs="Times New Roman" w:hAnsi="宋体"/>
          <w:b/>
          <w:bCs/>
          <w:sz w:val="30"/>
          <w:szCs w:val="30"/>
        </w:rPr>
        <w:t>五、</w:t>
      </w:r>
      <w:r>
        <w:rPr>
          <w:rFonts w:ascii="宋体" w:eastAsia="黑体" w:cs="Times New Roman" w:hAnsi="宋体" w:hint="eastAsia"/>
          <w:b/>
          <w:bCs/>
          <w:sz w:val="30"/>
          <w:szCs w:val="30"/>
        </w:rPr>
        <w:t>其他需要说明的问题</w:t>
      </w:r>
    </w:p>
    <w:p>
      <w:pPr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无</w:t>
      </w:r>
    </w:p>
    <w:p>
      <w:pPr>
        <w:ind w:firstLineChars="200" w:firstLine="600"/>
        <w:rPr>
          <w:rFonts w:ascii="宋体" w:eastAsia="黑体" w:cs="Times New Roman" w:hAnsi="宋体"/>
          <w:b/>
          <w:bCs/>
          <w:sz w:val="30"/>
          <w:szCs w:val="30"/>
        </w:rPr>
      </w:pPr>
    </w:p>
    <w:p>
      <w:pPr>
        <w:ind w:firstLineChars="200" w:firstLine="600"/>
        <w:rPr>
          <w:rFonts w:ascii="宋体" w:eastAsia="黑体" w:cs="Times New Roman" w:hAnsi="宋体" w:hint="eastAsia"/>
          <w:b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AE936A72"/>
    <w:multiLevelType w:val="multilevel"/>
    <w:tmpl w:val="AE936A72"/>
    <w:lvl w:ilvl="0">
      <w:start w:val="1"/>
      <w:numFmt w:val="chineseCountingThousand"/>
      <w:lvlRestart w:val="0"/>
      <w:lvlText w:val="（%1）"/>
      <w:lvlJc w:val="left"/>
      <w:pPr>
        <w:ind w:left="1485" w:hanging="885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  <w:docVars>
    <w:docVar w:name="commondata" w:val="eyJoZGlkIjoiNThmNDRlZjFmNDlmMjA2Y2U3OTBhODhiYTlkZGFkM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0D7CBEE-3ECE-43F0-833D-DB2188B1422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359</TotalTime>
  <Application>Yozo_Office27021597764231179</Application>
  <Pages>4</Pages>
  <Words>0</Words>
  <Characters>1589</Characters>
  <Lines>0</Lines>
  <Paragraphs>45</Paragraphs>
  <CharactersWithSpaces>2119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2023-03-06T07:30:00Z</dcterms:created>
  <dcterms:modified xsi:type="dcterms:W3CDTF">2025-02-26T01:37:23Z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2052-12.1.0.17133</vt:lpwstr>
  </property>
  <property fmtid="{D5CDD505-2E9C-101B-9397-08002B2CF9AE}" pid="3" name="ICV">
    <vt:lpwstr>15DEE8D4460447F182EAB3FDF5461463_12</vt:lpwstr>
  </property>
</Properties>
</file>