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pPr>
        <w:jc w:val="center"/>
        <w:rPr>
          <w:rFonts w:ascii="宋体" w:cs="Times New Roman"/>
          <w:b/>
          <w:sz w:val="44"/>
          <w:szCs w:val="44"/>
        </w:rPr>
      </w:pPr>
      <w:r>
        <w:rPr>
          <w:rFonts w:ascii="宋体" w:cs="Times New Roman"/>
          <w:b/>
          <w:sz w:val="44"/>
          <w:szCs w:val="44"/>
        </w:rPr>
        <w:t>丰南区财政局</w:t>
      </w:r>
      <w:r>
        <w:rPr>
          <w:rFonts w:ascii="宋体" w:cs="Times New Roman" w:hint="eastAsia"/>
          <w:b/>
          <w:sz w:val="44"/>
          <w:szCs w:val="44"/>
        </w:rPr>
        <w:t>整体</w:t>
      </w:r>
      <w:r>
        <w:rPr>
          <w:rFonts w:ascii="宋体" w:cs="Times New Roman"/>
          <w:b/>
          <w:sz w:val="44"/>
          <w:szCs w:val="44"/>
        </w:rPr>
        <w:t>绩效自评报告（范本）</w:t>
      </w:r>
    </w:p>
    <w:p>
      <w:pPr>
        <w:jc w:val="center"/>
        <w:rPr>
          <w:rFonts w:ascii="宋体" w:eastAsia="仿宋" w:cs="Times New Roman" w:hAnsi="宋体"/>
          <w:b/>
          <w:sz w:val="30"/>
          <w:szCs w:val="30"/>
        </w:rPr>
      </w:pPr>
      <w:r>
        <w:rPr>
          <w:rFonts w:ascii="宋体" w:eastAsia="仿宋" w:cs="Times New Roman" w:hAnsi="宋体"/>
          <w:b/>
          <w:sz w:val="30"/>
          <w:szCs w:val="30"/>
        </w:rPr>
        <w:t>（2024年度）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44"/>
          <w:szCs w:val="44"/>
        </w:rPr>
        <w:sym w:font="Wingdings 2" w:char="F052"/>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b/>
          <w:sz w:val="32"/>
          <w:szCs w:val="32"/>
          <w:u w:val="single"/>
        </w:rPr>
        <w:t>唐山市丰南区财政局</w:t>
      </w:r>
      <w:r>
        <w:rPr>
          <w:rFonts w:ascii="宋体" w:eastAsia="仿宋" w:cs="Times New Roman" w:hAnsi="宋体" w:hint="eastAsia"/>
          <w:b/>
          <w:sz w:val="32"/>
          <w:szCs w:val="32"/>
          <w:u w:val="single"/>
        </w:rPr>
        <w:t xml:space="preserve"> （加盖公章）</w:t>
      </w: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联系电话：</w:t>
      </w:r>
      <w:r>
        <w:rPr>
          <w:rFonts w:ascii="宋体" w:eastAsia="仿宋" w:cs="Times New Roman" w:hAnsi="宋体"/>
          <w:b/>
          <w:sz w:val="32"/>
          <w:szCs w:val="32"/>
          <w:u w:val="single"/>
        </w:rPr>
        <w:t xml:space="preserve">8189718 </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w:t>
      </w:r>
      <w:r>
        <w:rPr>
          <w:rFonts w:ascii="宋体" w:eastAsia="仿宋" w:cs="Times New Roman" w:hAnsi="宋体"/>
          <w:b/>
          <w:sz w:val="32"/>
          <w:szCs w:val="32"/>
        </w:rPr>
        <w:t>2025年2月 5 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（一）部门主要职责职能及人员情况</w:t>
      </w:r>
    </w:p>
    <w:p>
      <w:pPr>
        <w:numPr>
          <w:ilvl w:val="0"/>
          <w:numId w:val="2"/>
        </w:numPr>
        <w:snapToGrid w:val="0"/>
        <w:rPr>
          <w:rFonts w:ascii="仿宋" w:eastAsia="仿宋" w:hint="eastAsia"/>
          <w:sz w:val="30"/>
          <w:szCs w:val="30"/>
        </w:rPr>
      </w:pPr>
      <w:r>
        <w:rPr>
          <w:rFonts w:ascii="仿宋" w:eastAsia="仿宋" w:hint="eastAsia"/>
          <w:sz w:val="30"/>
          <w:szCs w:val="30"/>
        </w:rPr>
        <w:t>主要职责</w:t>
      </w:r>
      <w:r>
        <w:rPr>
          <w:rFonts w:ascii="仿宋" w:eastAsia="仿宋"/>
          <w:sz w:val="30"/>
          <w:szCs w:val="30"/>
        </w:rPr>
        <w:t>职能</w:t>
      </w:r>
      <w:r>
        <w:rPr>
          <w:rFonts w:ascii="仿宋" w:eastAsia="仿宋" w:hint="eastAsia"/>
          <w:sz w:val="30"/>
          <w:szCs w:val="30"/>
        </w:rPr>
        <w:t>。</w:t>
      </w:r>
    </w:p>
    <w:p>
      <w:pPr>
        <w:pStyle w:val="17"/>
        <w:ind w:firstLineChars="200" w:firstLine="600"/>
        <w:jc w:val="both"/>
        <w:rPr>
          <w:rFonts w:ascii="仿宋" w:eastAsia="仿宋" w:cs="仿宋" w:hint="eastAsia"/>
          <w:sz w:val="30"/>
          <w:szCs w:val="30"/>
        </w:rPr>
      </w:pPr>
      <w:r>
        <w:rPr>
          <w:rFonts w:ascii="仿宋" w:eastAsia="仿宋" w:cs="仿宋" w:hint="eastAsia"/>
          <w:sz w:val="30"/>
          <w:szCs w:val="30"/>
        </w:rPr>
        <w:t>（一）拟订财税发展战略、规划、政策和改革方案</w:t>
      </w:r>
      <w:r>
        <w:rPr>
          <w:rFonts w:ascii="仿宋" w:eastAsia="仿宋" w:cs="仿宋"/>
          <w:sz w:val="30"/>
          <w:szCs w:val="30"/>
        </w:rPr>
        <w:t>并</w:t>
      </w:r>
      <w:r>
        <w:rPr>
          <w:rFonts w:ascii="仿宋" w:eastAsia="仿宋" w:cs="仿宋" w:hint="eastAsia"/>
          <w:sz w:val="30"/>
          <w:szCs w:val="30"/>
        </w:rPr>
        <w:t>组织实施。分析预测宏观经济形势，参与制定宏观经济政策，提出运用财税政策实施宏观调控和综合平衡社会财力的建议。拟订区与乡镇（含开发区）、政府与企业的分配政策，完善鼓励公益事业发展的财税政策。</w:t>
      </w:r>
    </w:p>
    <w:p>
      <w:pPr>
        <w:pStyle w:val="17"/>
        <w:ind w:left="0" w:firstLineChars="200" w:firstLine="600"/>
        <w:jc w:val="both"/>
        <w:rPr>
          <w:rFonts w:ascii="仿宋" w:eastAsia="仿宋" w:cs="仿宋" w:hint="eastAsia"/>
          <w:sz w:val="30"/>
          <w:szCs w:val="30"/>
        </w:rPr>
      </w:pPr>
      <w:r>
        <w:rPr>
          <w:rFonts w:ascii="仿宋" w:eastAsia="仿宋" w:cs="仿宋" w:hint="eastAsia"/>
          <w:sz w:val="30"/>
          <w:szCs w:val="30"/>
        </w:rPr>
        <w:t>（二）贯彻执行财政、财务、会计管理的法律、行政</w:t>
      </w:r>
      <w:r>
        <w:rPr>
          <w:rFonts w:ascii="仿宋" w:eastAsia="仿宋" w:cs="仿宋"/>
          <w:sz w:val="30"/>
          <w:szCs w:val="30"/>
        </w:rPr>
        <w:t>法</w:t>
      </w:r>
      <w:r>
        <w:rPr>
          <w:rFonts w:ascii="仿宋" w:eastAsia="仿宋" w:cs="仿宋" w:hint="eastAsia"/>
          <w:sz w:val="30"/>
          <w:szCs w:val="30"/>
        </w:rPr>
        <w:t>规、规章，起草相关规范性文件，并监督执行。</w:t>
      </w:r>
    </w:p>
    <w:p>
      <w:pPr>
        <w:pStyle w:val="17"/>
        <w:ind w:left="0" w:firstLineChars="200" w:firstLine="600"/>
        <w:jc w:val="both"/>
        <w:rPr>
          <w:rFonts w:ascii="仿宋" w:eastAsia="仿宋" w:cs="仿宋" w:hint="eastAsia"/>
          <w:sz w:val="30"/>
          <w:szCs w:val="30"/>
        </w:rPr>
      </w:pPr>
      <w:r>
        <w:rPr>
          <w:rFonts w:ascii="仿宋" w:eastAsia="仿宋" w:cs="仿宋" w:hint="eastAsia"/>
          <w:sz w:val="30"/>
          <w:szCs w:val="30"/>
        </w:rPr>
        <w:t>（三）负责管理区级各项财政收支。编制年度区级预决算草案</w:t>
      </w:r>
      <w:r>
        <w:rPr>
          <w:rFonts w:ascii="仿宋" w:eastAsia="仿宋" w:cs="仿宋"/>
          <w:sz w:val="30"/>
          <w:szCs w:val="30"/>
        </w:rPr>
        <w:t>并</w:t>
      </w:r>
      <w:r>
        <w:rPr>
          <w:rFonts w:ascii="仿宋" w:eastAsia="仿宋" w:cs="仿宋" w:hint="eastAsia"/>
          <w:sz w:val="30"/>
          <w:szCs w:val="30"/>
        </w:rPr>
        <w:t>组织执行，汇编全区预决算草案。组织制定经费开支标准、定额，审核批复部门（单位）年度预决算。受区政府委</w:t>
      </w:r>
      <w:r>
        <w:rPr>
          <w:rFonts w:ascii="仿宋" w:eastAsia="仿宋" w:cs="仿宋"/>
          <w:sz w:val="30"/>
          <w:szCs w:val="30"/>
        </w:rPr>
        <w:t>托，</w:t>
      </w:r>
      <w:r>
        <w:rPr>
          <w:rFonts w:ascii="仿宋" w:eastAsia="仿宋" w:cs="仿宋" w:hint="eastAsia"/>
          <w:sz w:val="30"/>
          <w:szCs w:val="30"/>
        </w:rPr>
        <w:t>向区人民代表大会及其常委会报告财政预算、执行和决算等情况。负责政府投资基金区级财政出资的资产管理。负责区级财政预决算公开。</w:t>
      </w:r>
    </w:p>
    <w:p>
      <w:pPr>
        <w:pStyle w:val="17"/>
        <w:ind w:firstLine="561"/>
        <w:jc w:val="both"/>
        <w:rPr>
          <w:rFonts w:ascii="仿宋" w:eastAsia="仿宋" w:cs="仿宋" w:hint="eastAsia"/>
          <w:sz w:val="30"/>
          <w:szCs w:val="30"/>
        </w:rPr>
      </w:pPr>
      <w:r>
        <w:rPr>
          <w:rFonts w:ascii="仿宋" w:eastAsia="仿宋" w:cs="仿宋" w:hint="eastAsia"/>
          <w:sz w:val="30"/>
          <w:szCs w:val="30"/>
        </w:rPr>
        <w:t>（四）贯彻执行中央、省、市税目税率调整、减免和地方税收政策等重大事项。组织推进税收制度改革。</w:t>
      </w:r>
    </w:p>
    <w:p>
      <w:pPr>
        <w:pStyle w:val="17"/>
        <w:ind w:firstLine="561"/>
        <w:jc w:val="both"/>
        <w:rPr>
          <w:rFonts w:ascii="仿宋" w:eastAsia="仿宋" w:cs="仿宋" w:hint="eastAsia"/>
          <w:sz w:val="30"/>
          <w:szCs w:val="30"/>
        </w:rPr>
      </w:pPr>
      <w:r>
        <w:rPr>
          <w:rFonts w:ascii="仿宋" w:eastAsia="仿宋" w:cs="仿宋" w:hint="eastAsia"/>
          <w:sz w:val="30"/>
          <w:szCs w:val="30"/>
        </w:rPr>
        <w:t>（五）按分工负责政府非税收入管理。负责政府性基金管理，按规定管理行政事业性收费。管理财政票据。按规定管理彩票资金。</w:t>
      </w:r>
    </w:p>
    <w:p>
      <w:pPr>
        <w:pStyle w:val="17"/>
        <w:ind w:firstLine="561"/>
        <w:jc w:val="both"/>
        <w:rPr>
          <w:rFonts w:ascii="仿宋" w:eastAsia="仿宋" w:cs="仿宋" w:hint="eastAsia"/>
          <w:sz w:val="30"/>
          <w:szCs w:val="30"/>
        </w:rPr>
      </w:pPr>
      <w:r>
        <w:rPr>
          <w:rFonts w:ascii="仿宋" w:eastAsia="仿宋" w:cs="仿宋" w:hint="eastAsia"/>
          <w:sz w:val="30"/>
          <w:szCs w:val="30"/>
        </w:rPr>
        <w:t>（六）研究制定国库管理制度、国库集中收付制度，指导和监督区级国库业务，开展国库现金管理工作。制定政府财务报告编制办法并组织实施。制定政府采购制度并监督管理。</w:t>
      </w:r>
    </w:p>
    <w:p>
      <w:pPr>
        <w:pStyle w:val="17"/>
        <w:ind w:firstLine="561"/>
        <w:jc w:val="both"/>
        <w:rPr>
          <w:rFonts w:ascii="仿宋" w:eastAsia="仿宋" w:cs="仿宋" w:hint="eastAsia"/>
          <w:sz w:val="30"/>
          <w:szCs w:val="30"/>
        </w:rPr>
      </w:pPr>
      <w:r>
        <w:rPr>
          <w:rFonts w:ascii="仿宋" w:eastAsia="仿宋" w:cs="仿宋" w:hint="eastAsia"/>
          <w:sz w:val="30"/>
          <w:szCs w:val="30"/>
        </w:rPr>
        <w:t>（七）执行政府债务管理制度和政策，拟订具体办法。负责政府债务限额管理和还本付息等工作。执行国家外债管理政策，拟订具体办法，管理区政府国外债权、债务。</w:t>
      </w:r>
    </w:p>
    <w:p>
      <w:pPr>
        <w:pStyle w:val="17"/>
        <w:ind w:firstLine="561"/>
        <w:jc w:val="both"/>
        <w:rPr>
          <w:rFonts w:ascii="仿宋" w:eastAsia="仿宋" w:cs="仿宋" w:hint="eastAsia"/>
          <w:sz w:val="30"/>
          <w:szCs w:val="30"/>
        </w:rPr>
      </w:pPr>
      <w:r>
        <w:rPr>
          <w:rFonts w:ascii="仿宋" w:eastAsia="仿宋" w:cs="仿宋" w:hint="eastAsia"/>
          <w:sz w:val="30"/>
          <w:szCs w:val="30"/>
        </w:rPr>
        <w:t>（八）牵头编制国有资产管理情况报告。执行国有金融资本管理</w:t>
      </w:r>
      <w:r>
        <w:rPr>
          <w:rFonts w:ascii="仿宋" w:eastAsia="仿宋" w:cs="仿宋"/>
          <w:sz w:val="30"/>
          <w:szCs w:val="30"/>
        </w:rPr>
        <w:t>规</w:t>
      </w:r>
      <w:r>
        <w:rPr>
          <w:rFonts w:ascii="仿宋" w:eastAsia="仿宋" w:cs="仿宋" w:hint="eastAsia"/>
          <w:sz w:val="30"/>
          <w:szCs w:val="30"/>
        </w:rPr>
        <w:t>章制度，制定具体办法。拟订行政事业单位国有资产管理制度</w:t>
      </w:r>
      <w:r>
        <w:rPr>
          <w:rFonts w:ascii="仿宋" w:eastAsia="仿宋" w:cs="仿宋"/>
          <w:sz w:val="30"/>
          <w:szCs w:val="30"/>
        </w:rPr>
        <w:t>并</w:t>
      </w:r>
      <w:r>
        <w:rPr>
          <w:rFonts w:ascii="仿宋" w:eastAsia="仿宋" w:cs="仿宋" w:hint="eastAsia"/>
          <w:sz w:val="30"/>
          <w:szCs w:val="30"/>
        </w:rPr>
        <w:t>组织实施，制定需要全区统一觃定的开支标准和支出政策。对国有企业资产进行监督管理。组织实施企业财务制度。</w:t>
      </w:r>
    </w:p>
    <w:p>
      <w:pPr>
        <w:pStyle w:val="17"/>
        <w:ind w:firstLine="561"/>
        <w:jc w:val="both"/>
        <w:rPr>
          <w:rFonts w:ascii="仿宋" w:eastAsia="仿宋" w:cs="仿宋" w:hint="eastAsia"/>
          <w:sz w:val="30"/>
          <w:szCs w:val="30"/>
        </w:rPr>
      </w:pPr>
      <w:r>
        <w:rPr>
          <w:rFonts w:ascii="仿宋" w:eastAsia="仿宋" w:cs="仿宋" w:hint="eastAsia"/>
          <w:sz w:val="30"/>
          <w:szCs w:val="30"/>
        </w:rPr>
        <w:t>（九）负责审核并汇总编制全区国有资本经营预决算草案，组织实施国有资本经营预算制度，制定具体办法，收取区属企业国有资本收益。负责全区行政事业单位和社会团体的非贸易外汇管理。</w:t>
      </w:r>
    </w:p>
    <w:p>
      <w:pPr>
        <w:pStyle w:val="17"/>
        <w:ind w:firstLine="561"/>
        <w:jc w:val="both"/>
        <w:rPr>
          <w:rFonts w:ascii="仿宋" w:eastAsia="仿宋" w:cs="仿宋" w:hint="eastAsia"/>
          <w:sz w:val="30"/>
          <w:szCs w:val="30"/>
        </w:rPr>
      </w:pPr>
      <w:r>
        <w:rPr>
          <w:rFonts w:ascii="仿宋" w:eastAsia="仿宋" w:cs="仿宋" w:hint="eastAsia"/>
          <w:sz w:val="30"/>
          <w:szCs w:val="30"/>
        </w:rPr>
        <w:t>（十）负责审核并汇总编制全区社会保险基金预决算草案，会同有关部门拟订有关资金（基金）财务管理制度并组织实施。承担社会保险基金财政监管工作。</w:t>
      </w:r>
    </w:p>
    <w:p>
      <w:pPr>
        <w:pStyle w:val="17"/>
        <w:ind w:firstLine="561"/>
        <w:jc w:val="both"/>
        <w:rPr>
          <w:rFonts w:ascii="仿宋" w:eastAsia="仿宋" w:cs="仿宋" w:hint="eastAsia"/>
          <w:sz w:val="30"/>
          <w:szCs w:val="30"/>
        </w:rPr>
      </w:pPr>
      <w:r>
        <w:rPr>
          <w:rFonts w:ascii="仿宋" w:eastAsia="仿宋" w:cs="仿宋" w:hint="eastAsia"/>
          <w:sz w:val="30"/>
          <w:szCs w:val="30"/>
        </w:rPr>
        <w:t>（十一）负责办理和监督区级财政的经济发展支出、区级政府性投资项目的财政拨款，参与拟订区级建设投资的有关政策，执行基建财务管理制度。负责财政预算评审管理。对政府确立的重点项目实施情况及区服务业发展引导资金使用情况进行监督。</w:t>
      </w:r>
    </w:p>
    <w:p>
      <w:pPr>
        <w:pStyle w:val="17"/>
        <w:ind w:firstLine="561"/>
        <w:jc w:val="both"/>
        <w:rPr>
          <w:rFonts w:ascii="仿宋" w:eastAsia="仿宋" w:cs="仿宋" w:hint="eastAsia"/>
          <w:sz w:val="30"/>
          <w:szCs w:val="30"/>
        </w:rPr>
      </w:pPr>
      <w:r>
        <w:rPr>
          <w:rFonts w:ascii="仿宋" w:eastAsia="仿宋" w:cs="仿宋" w:hint="eastAsia"/>
          <w:sz w:val="30"/>
          <w:szCs w:val="30"/>
        </w:rPr>
        <w:t>（十二）负责管理全区会计工作，监督和规范会计行为，组织实施会计制度。</w:t>
      </w:r>
    </w:p>
    <w:p>
      <w:pPr>
        <w:pStyle w:val="17"/>
        <w:jc w:val="both"/>
        <w:rPr>
          <w:rFonts w:ascii="仿宋" w:eastAsia="仿宋" w:cs="仿宋"/>
          <w:sz w:val="30"/>
          <w:szCs w:val="30"/>
        </w:rPr>
      </w:pPr>
      <w:r>
        <w:rPr>
          <w:rFonts w:ascii="仿宋" w:eastAsia="仿宋" w:cs="仿宋" w:hint="eastAsia"/>
          <w:sz w:val="30"/>
          <w:szCs w:val="30"/>
        </w:rPr>
        <w:t>（十三）完成区委、区政府交办的其他任务。</w:t>
      </w:r>
    </w:p>
    <w:p>
      <w:pPr>
        <w:snapToGrid w:val="0"/>
        <w:ind w:firstLineChars="200" w:firstLine="600"/>
        <w:rPr>
          <w:rFonts w:ascii="仿宋" w:eastAsia="仿宋" w:cs="Times New Roman" w:hint="eastAsia"/>
          <w:sz w:val="30"/>
          <w:szCs w:val="30"/>
        </w:rPr>
      </w:pPr>
      <w:r>
        <w:rPr>
          <w:rFonts w:ascii="仿宋" w:eastAsia="仿宋" w:cs="Times New Roman" w:hint="eastAsia"/>
          <w:sz w:val="30"/>
          <w:szCs w:val="30"/>
        </w:rPr>
        <w:t>2．人员情况。</w:t>
      </w:r>
    </w:p>
    <w:p>
      <w:pPr>
        <w:snapToGrid w:val="0"/>
        <w:ind w:firstLineChars="200" w:firstLine="600"/>
        <w:rPr>
          <w:rFonts w:ascii="仿宋" w:eastAsia="仿宋" w:cs="Times New Roman" w:hint="eastAsia"/>
          <w:sz w:val="30"/>
          <w:szCs w:val="30"/>
        </w:rPr>
      </w:pPr>
      <w:r>
        <w:rPr>
          <w:rFonts w:ascii="仿宋" w:eastAsia="仿宋" w:cs="Times New Roman" w:hint="eastAsia"/>
          <w:sz w:val="30"/>
          <w:szCs w:val="30"/>
          <w:lang w:val="en-US" w:eastAsia="zh-CN"/>
          <w:highlight w:val="auto"/>
        </w:rPr>
        <w:t>202</w:t>
      </w:r>
      <w:r>
        <w:rPr>
          <w:rFonts w:ascii="仿宋" w:eastAsia="仿宋" w:cs="Times New Roman"/>
          <w:sz w:val="30"/>
          <w:szCs w:val="30"/>
          <w:lang w:val="en-US" w:eastAsia="zh-CN"/>
          <w:highlight w:val="auto"/>
        </w:rPr>
        <w:t>4</w:t>
      </w:r>
      <w:r>
        <w:rPr>
          <w:rFonts w:ascii="仿宋" w:eastAsia="仿宋" w:cs="Times New Roman" w:hint="eastAsia"/>
          <w:sz w:val="30"/>
          <w:szCs w:val="30"/>
          <w:lang w:val="en-US" w:eastAsia="zh-CN"/>
          <w:highlight w:val="auto"/>
        </w:rPr>
        <w:t>年年末行政人员</w:t>
      </w:r>
      <w:r>
        <w:rPr>
          <w:rFonts w:ascii="仿宋" w:eastAsia="仿宋" w:cs="Times New Roman"/>
          <w:sz w:val="30"/>
          <w:szCs w:val="30"/>
          <w:lang w:val="en-US" w:eastAsia="zh-CN"/>
          <w:highlight w:val="auto"/>
        </w:rPr>
        <w:t>17</w:t>
      </w:r>
      <w:r>
        <w:rPr>
          <w:rFonts w:ascii="仿宋" w:eastAsia="仿宋" w:cs="Times New Roman" w:hint="eastAsia"/>
          <w:sz w:val="30"/>
          <w:szCs w:val="30"/>
          <w:lang w:val="en-US" w:eastAsia="zh-CN"/>
          <w:highlight w:val="auto"/>
        </w:rPr>
        <w:t>人，参公人员</w:t>
      </w:r>
      <w:r>
        <w:rPr>
          <w:rFonts w:ascii="仿宋" w:eastAsia="仿宋" w:cs="Times New Roman"/>
          <w:sz w:val="30"/>
          <w:szCs w:val="30"/>
          <w:lang w:val="en-US" w:eastAsia="zh-CN"/>
          <w:highlight w:val="auto"/>
        </w:rPr>
        <w:t>14</w:t>
      </w:r>
      <w:r>
        <w:rPr>
          <w:rFonts w:ascii="仿宋" w:eastAsia="仿宋" w:cs="Times New Roman" w:hint="eastAsia"/>
          <w:sz w:val="30"/>
          <w:szCs w:val="30"/>
          <w:lang w:val="en-US" w:eastAsia="zh-CN"/>
          <w:highlight w:val="auto"/>
        </w:rPr>
        <w:t>人，全额事业</w:t>
      </w:r>
      <w:r>
        <w:rPr>
          <w:rFonts w:ascii="仿宋" w:eastAsia="仿宋" w:cs="Times New Roman"/>
          <w:sz w:val="30"/>
          <w:szCs w:val="30"/>
          <w:lang w:val="en-US" w:eastAsia="zh-CN"/>
          <w:highlight w:val="auto"/>
        </w:rPr>
        <w:t>138</w:t>
      </w:r>
      <w:r>
        <w:rPr>
          <w:rFonts w:ascii="仿宋" w:eastAsia="仿宋" w:cs="Times New Roman" w:hint="eastAsia"/>
          <w:sz w:val="30"/>
          <w:szCs w:val="30"/>
          <w:lang w:val="en-US" w:eastAsia="zh-CN"/>
          <w:highlight w:val="auto"/>
        </w:rPr>
        <w:t>人，自收自支人员</w:t>
      </w:r>
      <w:r>
        <w:rPr>
          <w:rFonts w:ascii="仿宋" w:eastAsia="仿宋" w:cs="Times New Roman"/>
          <w:sz w:val="30"/>
          <w:szCs w:val="30"/>
          <w:lang w:val="en-US" w:eastAsia="zh-CN"/>
          <w:highlight w:val="auto"/>
        </w:rPr>
        <w:t>27</w:t>
      </w:r>
      <w:r>
        <w:rPr>
          <w:rFonts w:ascii="仿宋" w:eastAsia="仿宋" w:cs="Times New Roman" w:hint="eastAsia"/>
          <w:sz w:val="30"/>
          <w:szCs w:val="30"/>
          <w:lang w:val="en-US" w:eastAsia="zh-CN"/>
          <w:highlight w:val="auto"/>
        </w:rPr>
        <w:t>人，人事代理及聘任制</w:t>
      </w:r>
      <w:r>
        <w:rPr>
          <w:rFonts w:ascii="仿宋" w:eastAsia="仿宋" w:cs="Times New Roman"/>
          <w:sz w:val="30"/>
          <w:szCs w:val="30"/>
          <w:lang w:val="en-US" w:eastAsia="zh-CN"/>
          <w:highlight w:val="auto"/>
        </w:rPr>
        <w:t>18</w:t>
      </w:r>
      <w:r>
        <w:rPr>
          <w:rFonts w:ascii="仿宋" w:eastAsia="仿宋" w:cs="Times New Roman" w:hint="eastAsia"/>
          <w:sz w:val="30"/>
          <w:szCs w:val="30"/>
          <w:lang w:val="en-US" w:eastAsia="zh-CN"/>
          <w:highlight w:val="auto"/>
        </w:rPr>
        <w:t>人，实有人数共计</w:t>
      </w:r>
      <w:r>
        <w:rPr>
          <w:rFonts w:ascii="仿宋" w:eastAsia="仿宋" w:cs="Times New Roman"/>
          <w:sz w:val="30"/>
          <w:szCs w:val="30"/>
          <w:lang w:val="en-US" w:eastAsia="zh-CN"/>
          <w:highlight w:val="auto"/>
        </w:rPr>
        <w:t>214</w:t>
      </w:r>
      <w:r>
        <w:rPr>
          <w:rFonts w:ascii="仿宋" w:eastAsia="仿宋" w:cs="Times New Roman" w:hint="eastAsia"/>
          <w:sz w:val="30"/>
          <w:szCs w:val="30"/>
          <w:lang w:val="en-US" w:eastAsia="zh-CN"/>
          <w:highlight w:val="auto"/>
        </w:rPr>
        <w:t>人。</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spacing w:line="540" w:lineRule="exact"/>
        <w:ind w:firstLineChars="200" w:firstLine="600"/>
        <w:rPr>
          <w:rFonts w:ascii="仿宋" w:eastAsia="仿宋" w:cs="仿宋" w:hAnsi="宋体" w:hint="eastAsia"/>
          <w:sz w:val="30"/>
          <w:szCs w:val="30"/>
        </w:rPr>
      </w:pPr>
      <w:r>
        <w:rPr>
          <w:rFonts w:ascii="仿宋" w:eastAsia="仿宋" w:cs="仿宋" w:hAnsi="宋体" w:hint="eastAsia"/>
          <w:sz w:val="30"/>
          <w:szCs w:val="30"/>
        </w:rPr>
        <w:t>本部门2024年度申请预算资</w:t>
      </w:r>
      <w:r>
        <w:rPr>
          <w:rFonts w:ascii="仿宋" w:eastAsia="仿宋" w:cs="仿宋" w:hAnsi="宋体"/>
          <w:sz w:val="30"/>
          <w:szCs w:val="30"/>
        </w:rPr>
        <w:t>6316.95</w:t>
      </w:r>
      <w:r>
        <w:rPr>
          <w:rFonts w:ascii="仿宋" w:eastAsia="仿宋" w:cs="仿宋" w:hAnsi="宋体" w:hint="eastAsia"/>
          <w:sz w:val="30"/>
          <w:szCs w:val="30"/>
        </w:rPr>
        <w:t>万元，其中：共同财政事权转移支付</w:t>
      </w:r>
      <w:r>
        <w:rPr>
          <w:rFonts w:ascii="仿宋" w:eastAsia="仿宋" w:cs="仿宋" w:hAnsi="宋体"/>
          <w:sz w:val="30"/>
          <w:szCs w:val="30"/>
        </w:rPr>
        <w:t>0</w:t>
      </w:r>
      <w:r>
        <w:rPr>
          <w:rFonts w:ascii="仿宋" w:eastAsia="仿宋" w:cs="仿宋" w:hAnsi="宋体" w:hint="eastAsia"/>
          <w:sz w:val="30"/>
          <w:szCs w:val="30"/>
        </w:rPr>
        <w:t>万元（包含中央</w:t>
      </w:r>
      <w:r>
        <w:rPr>
          <w:rFonts w:ascii="仿宋" w:eastAsia="仿宋" w:cs="仿宋" w:hAnsi="宋体"/>
          <w:sz w:val="30"/>
          <w:szCs w:val="30"/>
        </w:rPr>
        <w:t>0</w:t>
      </w:r>
      <w:r>
        <w:rPr>
          <w:rFonts w:ascii="仿宋" w:eastAsia="仿宋" w:cs="仿宋" w:hAnsi="宋体" w:hint="eastAsia"/>
          <w:sz w:val="30"/>
          <w:szCs w:val="30"/>
        </w:rPr>
        <w:t>万元、省</w:t>
      </w:r>
      <w:r>
        <w:rPr>
          <w:rFonts w:ascii="仿宋" w:eastAsia="仿宋" w:cs="仿宋" w:hAnsi="宋体"/>
          <w:sz w:val="30"/>
          <w:szCs w:val="30"/>
        </w:rPr>
        <w:t>0</w:t>
      </w:r>
      <w:r>
        <w:rPr>
          <w:rFonts w:ascii="仿宋" w:eastAsia="仿宋" w:cs="仿宋" w:hAnsi="宋体" w:hint="eastAsia"/>
          <w:sz w:val="30"/>
          <w:szCs w:val="30"/>
        </w:rPr>
        <w:t>万元、市</w:t>
      </w:r>
      <w:r>
        <w:rPr>
          <w:rFonts w:ascii="仿宋" w:eastAsia="仿宋" w:cs="仿宋" w:hAnsi="宋体"/>
          <w:sz w:val="30"/>
          <w:szCs w:val="30"/>
        </w:rPr>
        <w:t>0</w:t>
      </w:r>
      <w:r>
        <w:rPr>
          <w:rFonts w:ascii="仿宋" w:eastAsia="仿宋" w:cs="仿宋" w:hAnsi="宋体" w:hint="eastAsia"/>
          <w:sz w:val="30"/>
          <w:szCs w:val="30"/>
        </w:rPr>
        <w:t>万元），专项转移支付0万元（包含中央0万元、省0万元、市0万元），债券资金0万元；实际支出</w:t>
      </w:r>
      <w:r>
        <w:rPr>
          <w:rFonts w:ascii="仿宋" w:eastAsia="仿宋" w:cs="仿宋" w:hAnsi="宋体"/>
          <w:sz w:val="30"/>
          <w:szCs w:val="30"/>
        </w:rPr>
        <w:t>4889.91</w:t>
      </w:r>
      <w:r>
        <w:rPr>
          <w:rFonts w:ascii="仿宋" w:eastAsia="仿宋" w:cs="仿宋" w:hAnsi="宋体" w:hint="eastAsia"/>
          <w:sz w:val="30"/>
          <w:szCs w:val="30"/>
        </w:rPr>
        <w:t>万元，其中：共同财政事权转移支付万元（包含中央万元、省万元、市万元），专项转移支付0万元（包含中央0万元、省0万元、市0万元），债券资金0万元；预算执行率</w:t>
      </w:r>
      <w:r>
        <w:rPr>
          <w:rFonts w:ascii="仿宋" w:eastAsia="仿宋" w:cs="仿宋" w:hAnsi="宋体"/>
          <w:sz w:val="30"/>
          <w:szCs w:val="30"/>
        </w:rPr>
        <w:t>77.41</w:t>
      </w:r>
      <w:r>
        <w:rPr>
          <w:rFonts w:ascii="仿宋" w:eastAsia="仿宋" w:cs="仿宋" w:hAnsi="宋体" w:hint="eastAsia"/>
          <w:sz w:val="30"/>
          <w:szCs w:val="30"/>
        </w:rPr>
        <w:t>%。其中：项目18个（与部门开展项目自评个数相同），金额合计1131.10万元（与部门开展项目自评金额合计相同），实际支出741.01万元，执行率为65.51%。</w:t>
      </w:r>
    </w:p>
    <w:p>
      <w:pPr>
        <w:ind w:left="0"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pStyle w:val="18"/>
        <w:widowControl/>
        <w:ind w:firstLineChars="300" w:firstLine="900"/>
        <w:jc w:val="both"/>
        <w:rPr>
          <w:rFonts w:ascii="仿宋" w:eastAsia="仿宋" w:cs="Times New Roman" w:hint="eastAsia"/>
          <w:kern w:val="2"/>
          <w:sz w:val="30"/>
          <w:szCs w:val="30"/>
          <w:lang w:val="en-US" w:eastAsia="zh-CN" w:bidi="ar-SA"/>
        </w:rPr>
      </w:pPr>
      <w:r>
        <w:rPr>
          <w:rFonts w:ascii="仿宋" w:eastAsia="仿宋" w:hint="eastAsia"/>
          <w:kern w:val="2"/>
          <w:sz w:val="30"/>
          <w:szCs w:val="30"/>
          <w:lang w:val="en-US" w:eastAsia="zh-CN" w:bidi="ar-SA"/>
        </w:rPr>
        <w:t>部门总体绩效目标：</w:t>
      </w:r>
      <w:r>
        <w:rPr>
          <w:rFonts w:ascii="仿宋" w:eastAsia="仿宋" w:hint="eastAsia"/>
          <w:b w:val="0"/>
          <w:bCs w:val="0"/>
          <w:i w:val="0"/>
          <w:iCs w:val="0"/>
          <w:caps w:val="0"/>
          <w:smallCaps w:val="0"/>
          <w:color w:val="000000"/>
          <w:spacing w:val="0"/>
          <w:sz w:val="32"/>
          <w:szCs w:val="32"/>
        </w:rPr>
        <w:t>贯彻落实党中央和省委、市委、区委关于财政和国有企业监督管理工作的方针政策和决算部署，坚持和加强对财政和国有企业监督管理工作的集中统一领导。按照政策组织财政收入，保证财政支出，管好用活地方的财政资金，促进工农业生产发展和各项事业的发展。依法治税管费，全面落实中央、省、市、区制定的对企业的各项奖补和优惠政策，促进产业结构转型升级、优化营商环境，培植财源，确保高质量完成全年财政收入预算。克服通常观念，牢固树立“过紧日子”思想，加强预算管理，严格预算支出，确保财政收支平衡。推进全面实施预算绩效管理。着力推进财政管理改革。落实积极财政政策，深化财政投融资体制改革，做大做强财政“蛋糕”，助推全区经济转型和产业升级。加强债务管理，防范和化解债务风险。贯彻实施乡村振兴战略，管好用好涉农资金。以规范化管理为目标，夯实基础工作。全面提升我区国有资产管理水平。加强干部队伍建设，创建文明高效廉洁财政机关。</w:t>
      </w:r>
      <w:r>
        <w:rPr>
          <w:rFonts w:ascii="仿宋" w:eastAsia="仿宋" w:cs="Times New Roman" w:hint="eastAsia"/>
          <w:kern w:val="2"/>
          <w:sz w:val="30"/>
          <w:szCs w:val="30"/>
          <w:lang w:val="en-US" w:eastAsia="zh-CN" w:bidi="ar-SA"/>
        </w:rPr>
        <w:t>。</w:t>
      </w:r>
    </w:p>
    <w:p>
      <w:pPr>
        <w:ind w:firstLineChars="200" w:firstLine="600"/>
        <w:rPr>
          <w:rFonts w:ascii="仿宋" w:eastAsia="仿宋" w:cs="Times New Roman" w:hint="eastAsia"/>
          <w:sz w:val="30"/>
          <w:szCs w:val="30"/>
        </w:rPr>
      </w:pPr>
      <w:r>
        <w:rPr>
          <w:rFonts w:ascii="仿宋" w:eastAsia="仿宋" w:cs="Times New Roman" w:hint="eastAsia"/>
          <w:kern w:val="2"/>
          <w:sz w:val="30"/>
          <w:szCs w:val="30"/>
          <w:lang w:val="en-US" w:eastAsia="zh-CN" w:bidi="ar-SA"/>
        </w:rPr>
        <w:t>绩效指标设定情况：反映</w:t>
      </w:r>
      <w:r>
        <w:rPr>
          <w:rFonts w:ascii="仿宋" w:eastAsia="仿宋" w:cs="Times New Roman" w:hint="eastAsia"/>
          <w:sz w:val="30"/>
          <w:szCs w:val="30"/>
        </w:rPr>
        <w:t>重点工作任务完成情况。重点工作完成率=（重点工作实际完成数量/重点工作数量）*100%；反映全部工作任务达到预期质量目标情况。全年工作任务达标率=(完成预期质量目标的工作任务数/全年部门工作任务数)*100%；反映全部工作任务完成的及时程度和效率情况。完成及时率=（按时完成的工作任务数/全部工作任务数）*100%；保障财政工作的正常运转；政策全方位落实情况，执行各项财政事业，确保全区各项工作较好开展；能够长期较好地开展财政工作，长期满足服务对象的需求；社会公众或服务对象对本部门主要职能工作开展情况的满意程度，一般采用通过调查问卷、访谈等方式。</w:t>
      </w:r>
    </w:p>
    <w:p>
      <w:pPr>
        <w:ind w:firstLineChars="200" w:firstLine="600"/>
        <w:rPr>
          <w:rFonts w:ascii="仿宋" w:eastAsia="仿宋" w:cs="Times New Roman" w:hint="eastAsia"/>
          <w:sz w:val="30"/>
          <w:szCs w:val="30"/>
        </w:rPr>
      </w:pPr>
      <w:r>
        <w:rPr>
          <w:rFonts w:ascii="仿宋" w:eastAsia="仿宋" w:cs="Times New Roman" w:hint="eastAsia"/>
          <w:sz w:val="30"/>
          <w:szCs w:val="30"/>
        </w:rPr>
        <w:t>本次绩效评价项目</w:t>
      </w:r>
      <w:r>
        <w:rPr>
          <w:rFonts w:ascii="仿宋" w:eastAsia="仿宋" w:cs="Times New Roman"/>
          <w:sz w:val="30"/>
          <w:szCs w:val="30"/>
          <w:lang w:val="en-US" w:eastAsia="zh-CN"/>
        </w:rPr>
        <w:t>18</w:t>
      </w:r>
      <w:r>
        <w:rPr>
          <w:rFonts w:ascii="仿宋" w:eastAsia="仿宋" w:cs="Times New Roman" w:hint="eastAsia"/>
          <w:sz w:val="30"/>
          <w:szCs w:val="30"/>
        </w:rPr>
        <w:t>个</w:t>
      </w:r>
      <w:bookmarkStart w:id="0" w:name="_GoBack"/>
      <w:bookmarkEnd w:id="0"/>
      <w:r>
        <w:rPr>
          <w:rFonts w:ascii="仿宋" w:eastAsia="仿宋" w:cs="Times New Roman" w:hint="eastAsia"/>
          <w:sz w:val="30"/>
          <w:szCs w:val="30"/>
        </w:rPr>
        <w:t>，占部门项目总数的</w:t>
      </w:r>
      <w:r>
        <w:rPr>
          <w:rFonts w:ascii="仿宋" w:eastAsia="仿宋" w:cs="Times New Roman"/>
          <w:sz w:val="30"/>
          <w:szCs w:val="30"/>
          <w:lang w:val="en-US" w:eastAsia="zh-CN"/>
        </w:rPr>
        <w:t>100</w:t>
      </w:r>
      <w:r>
        <w:rPr>
          <w:rFonts w:ascii="仿宋" w:eastAsia="仿宋" w:cs="Times New Roman" w:hint="eastAsia"/>
          <w:sz w:val="30"/>
          <w:szCs w:val="30"/>
        </w:rPr>
        <w:t>%，</w:t>
      </w:r>
      <w:r>
        <w:rPr>
          <w:rFonts w:ascii="仿宋" w:eastAsia="仿宋" w:cs="Times New Roman"/>
          <w:sz w:val="30"/>
          <w:szCs w:val="30"/>
        </w:rPr>
        <w:t>预算安排资金</w:t>
      </w:r>
      <w:r>
        <w:rPr>
          <w:rFonts w:ascii="仿宋" w:eastAsia="仿宋" w:cs="Times New Roman"/>
          <w:sz w:val="30"/>
          <w:szCs w:val="30"/>
          <w:lang w:val="en-US" w:eastAsia="zh-CN"/>
        </w:rPr>
        <w:t>1131.10</w:t>
      </w:r>
      <w:r>
        <w:rPr>
          <w:rFonts w:ascii="仿宋" w:eastAsia="仿宋" w:cs="Times New Roman" w:hint="eastAsia"/>
          <w:sz w:val="30"/>
          <w:szCs w:val="30"/>
        </w:rPr>
        <w:t>万元</w:t>
      </w:r>
      <w:r>
        <w:rPr>
          <w:rFonts w:ascii="仿宋" w:eastAsia="仿宋" w:cs="Times New Roman"/>
          <w:sz w:val="30"/>
          <w:szCs w:val="30"/>
        </w:rPr>
        <w:t>，支出741.01万元</w:t>
      </w:r>
      <w:r>
        <w:rPr>
          <w:rFonts w:ascii="仿宋" w:eastAsia="仿宋" w:cs="Times New Roman" w:hint="eastAsia"/>
          <w:sz w:val="30"/>
          <w:szCs w:val="30"/>
        </w:rPr>
        <w:t>。采取成立本部门绩效自评工作组的形式，本着客观、公正、公开的原则开展自评工作，所有项目的绩效自评均设计了合理、明晰、可考核的、关键性产出指标和效果指标，自评结果真实可靠。</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snapToGrid w:val="0"/>
        <w:spacing w:line="580" w:lineRule="exact"/>
        <w:ind w:firstLineChars="200" w:firstLine="600"/>
        <w:rPr>
          <w:rFonts w:ascii="仿宋" w:eastAsia="仿宋" w:hint="eastAsia"/>
          <w:sz w:val="30"/>
          <w:szCs w:val="30"/>
        </w:rPr>
      </w:pPr>
      <w:r>
        <w:rPr>
          <w:rFonts w:ascii="仿宋" w:eastAsia="仿宋" w:hint="eastAsia"/>
          <w:color w:val="auto"/>
          <w:sz w:val="30"/>
          <w:szCs w:val="30"/>
          <w:lang w:val="en-US" w:eastAsia="zh-CN"/>
          <w:highlight w:val="auto"/>
        </w:rPr>
        <w:t>（一）部门开展预算绩效管理情况：</w:t>
      </w:r>
      <w:r>
        <w:rPr>
          <w:rFonts w:ascii="仿宋" w:eastAsia="仿宋"/>
          <w:color w:val="auto"/>
          <w:sz w:val="30"/>
          <w:szCs w:val="30"/>
          <w:lang w:val="en-US" w:eastAsia="zh-CN"/>
          <w:highlight w:val="auto"/>
        </w:rPr>
        <w:t>（1）</w:t>
      </w:r>
      <w:r>
        <w:rPr>
          <w:rFonts w:ascii="仿宋" w:eastAsia="仿宋" w:hint="eastAsia"/>
          <w:color w:val="auto"/>
          <w:sz w:val="30"/>
          <w:szCs w:val="30"/>
          <w:lang w:val="en-US" w:eastAsia="zh-CN"/>
          <w:highlight w:val="auto"/>
        </w:rPr>
        <w:t>开展半年绩效监控，了解项目的预算执行情况、目标完成情况、指标完成情况项目和存在的问题等；</w:t>
      </w:r>
      <w:r>
        <w:rPr>
          <w:rFonts w:ascii="仿宋" w:eastAsia="仿宋"/>
          <w:color w:val="auto"/>
          <w:sz w:val="30"/>
          <w:szCs w:val="30"/>
          <w:lang w:val="en-US" w:eastAsia="zh-CN"/>
          <w:highlight w:val="auto"/>
        </w:rPr>
        <w:t>（2）</w:t>
      </w:r>
      <w:r>
        <w:rPr>
          <w:rFonts w:ascii="仿宋" w:eastAsia="仿宋" w:hint="eastAsia"/>
          <w:color w:val="auto"/>
          <w:sz w:val="30"/>
          <w:szCs w:val="30"/>
          <w:lang w:val="en-US" w:eastAsia="zh-CN"/>
          <w:highlight w:val="auto"/>
        </w:rPr>
        <w:t>开展项目绩效自评工作，了解预算项目的执行情况和存在的问题等；</w:t>
      </w:r>
      <w:r>
        <w:rPr>
          <w:rFonts w:ascii="仿宋" w:eastAsia="仿宋"/>
          <w:color w:val="auto"/>
          <w:sz w:val="30"/>
          <w:szCs w:val="30"/>
          <w:lang w:val="en-US" w:eastAsia="zh-CN"/>
          <w:highlight w:val="auto"/>
        </w:rPr>
        <w:t>（3）</w:t>
      </w:r>
      <w:r>
        <w:rPr>
          <w:rFonts w:ascii="仿宋" w:eastAsia="仿宋" w:hint="eastAsia"/>
          <w:color w:val="auto"/>
          <w:sz w:val="30"/>
          <w:szCs w:val="30"/>
          <w:lang w:val="en-US" w:eastAsia="zh-CN"/>
          <w:highlight w:val="auto"/>
        </w:rPr>
        <w:t>加强绩效管理信息的公开，方便社会公众查阅和了解，进一步强化了预算监督。</w:t>
      </w:r>
    </w:p>
    <w:p>
      <w:pPr>
        <w:snapToGrid w:val="0"/>
        <w:spacing w:line="580" w:lineRule="exact"/>
        <w:ind w:firstLineChars="200" w:firstLine="600"/>
        <w:rPr>
          <w:rFonts w:ascii="仿宋" w:eastAsia="仿宋" w:hint="eastAsia"/>
          <w:color w:val="auto"/>
          <w:sz w:val="30"/>
          <w:szCs w:val="30"/>
          <w:lang w:val="en-US" w:eastAsia="zh-CN"/>
          <w:highlight w:val="auto"/>
        </w:rPr>
      </w:pPr>
      <w:r>
        <w:rPr>
          <w:rFonts w:ascii="仿宋" w:eastAsia="仿宋" w:hint="eastAsia"/>
          <w:b w:val="0"/>
          <w:bCs w:val="0"/>
          <w:sz w:val="30"/>
          <w:szCs w:val="30"/>
        </w:rPr>
        <w:t>（二）工作履行活动完成情况：对202</w:t>
      </w:r>
      <w:r>
        <w:rPr>
          <w:rFonts w:ascii="仿宋" w:eastAsia="仿宋"/>
          <w:b w:val="0"/>
          <w:bCs w:val="0"/>
          <w:sz w:val="30"/>
          <w:szCs w:val="30"/>
        </w:rPr>
        <w:t>4</w:t>
      </w:r>
      <w:r>
        <w:rPr>
          <w:rFonts w:ascii="仿宋" w:eastAsia="仿宋" w:hint="eastAsia"/>
          <w:b w:val="0"/>
          <w:bCs w:val="0"/>
          <w:sz w:val="30"/>
          <w:szCs w:val="30"/>
        </w:rPr>
        <w:t>年确定的部门一般公共预算支出全面开展了绩效自评，</w:t>
      </w:r>
      <w:r>
        <w:rPr>
          <w:rFonts w:ascii="仿宋" w:eastAsia="仿宋" w:hint="eastAsia"/>
          <w:color w:val="auto"/>
          <w:sz w:val="30"/>
          <w:szCs w:val="30"/>
          <w:lang w:val="en-US" w:eastAsia="zh-CN"/>
          <w:highlight w:val="auto"/>
        </w:rPr>
        <w:t>较好得完成了预算执行任务，综合得分98分，其中预算配置8分，预算执行13分，预算管理3</w:t>
      </w:r>
      <w:r>
        <w:rPr>
          <w:rFonts w:ascii="仿宋" w:eastAsia="仿宋"/>
          <w:color w:val="auto"/>
          <w:sz w:val="30"/>
          <w:szCs w:val="30"/>
          <w:lang w:val="en-US" w:eastAsia="zh-CN"/>
          <w:highlight w:val="auto"/>
        </w:rPr>
        <w:t>6</w:t>
      </w:r>
      <w:r>
        <w:rPr>
          <w:rFonts w:ascii="仿宋" w:eastAsia="仿宋" w:hint="eastAsia"/>
          <w:color w:val="auto"/>
          <w:sz w:val="30"/>
          <w:szCs w:val="30"/>
          <w:lang w:val="en-US" w:eastAsia="zh-CN"/>
          <w:highlight w:val="auto"/>
        </w:rPr>
        <w:t>分，预算绩效开展15分，职责履行8分，履职效益18分。</w:t>
      </w:r>
    </w:p>
    <w:p>
      <w:pPr>
        <w:snapToGrid w:val="0"/>
        <w:spacing w:line="580" w:lineRule="exact"/>
        <w:ind w:firstLineChars="200" w:firstLine="600"/>
        <w:rPr>
          <w:rFonts w:ascii="仿宋" w:eastAsia="仿宋" w:hint="eastAsia"/>
          <w:sz w:val="30"/>
          <w:szCs w:val="30"/>
        </w:rPr>
      </w:pPr>
      <w:r>
        <w:rPr>
          <w:rFonts w:ascii="仿宋" w:eastAsia="仿宋" w:hint="eastAsia"/>
          <w:sz w:val="30"/>
          <w:szCs w:val="30"/>
          <w:lang w:val="en-US" w:eastAsia="zh-CN"/>
        </w:rPr>
        <w:t>（三）实施履职活动产生的效果：（1）从经济性情况分析来看，预算资金覆盖各个需求方面，分配方法科学，考虑的因素必要合理，分配的结果合理，能基本保证人员经费支出和机构全年工作运转。（2）从效率性情况分析看，在各项工作费用支付中，尤其是五险一金等人员经费支出能及时按进度保质保量完成。</w:t>
      </w:r>
      <w:r>
        <w:rPr>
          <w:rFonts w:ascii="仿宋" w:eastAsia="仿宋"/>
          <w:sz w:val="30"/>
          <w:szCs w:val="30"/>
          <w:lang w:val="en-US" w:eastAsia="zh-CN"/>
        </w:rPr>
        <w:t>项目</w:t>
      </w:r>
      <w:r>
        <w:rPr>
          <w:rFonts w:ascii="仿宋" w:eastAsia="仿宋" w:hint="eastAsia"/>
          <w:sz w:val="30"/>
          <w:szCs w:val="30"/>
          <w:lang w:val="en-US" w:eastAsia="zh-CN"/>
        </w:rPr>
        <w:t>资金，</w:t>
      </w:r>
      <w:r>
        <w:rPr>
          <w:rFonts w:ascii="仿宋" w:eastAsia="仿宋" w:hint="eastAsia"/>
          <w:b w:val="0"/>
          <w:bCs w:val="0"/>
          <w:sz w:val="30"/>
          <w:szCs w:val="30"/>
        </w:rPr>
        <w:t>共涉及</w:t>
      </w:r>
      <w:r>
        <w:rPr>
          <w:rFonts w:ascii="仿宋" w:eastAsia="仿宋" w:hint="eastAsia"/>
          <w:b w:val="0"/>
          <w:bCs w:val="0"/>
          <w:sz w:val="30"/>
          <w:szCs w:val="30"/>
          <w:highlight w:val="auto"/>
        </w:rPr>
        <w:t>项目</w:t>
      </w:r>
      <w:r>
        <w:rPr>
          <w:rFonts w:ascii="仿宋" w:eastAsia="仿宋" w:hint="eastAsia"/>
          <w:b w:val="0"/>
          <w:bCs w:val="0"/>
          <w:sz w:val="30"/>
          <w:szCs w:val="30"/>
          <w:lang w:val="en-US" w:eastAsia="zh-CN"/>
          <w:highlight w:val="auto"/>
        </w:rPr>
        <w:t>1</w:t>
      </w:r>
      <w:r>
        <w:rPr>
          <w:rFonts w:ascii="仿宋" w:eastAsia="仿宋"/>
          <w:b w:val="0"/>
          <w:bCs w:val="0"/>
          <w:sz w:val="30"/>
          <w:szCs w:val="30"/>
          <w:lang w:val="en-US" w:eastAsia="zh-CN"/>
          <w:highlight w:val="auto"/>
        </w:rPr>
        <w:t>8</w:t>
      </w:r>
      <w:r>
        <w:rPr>
          <w:rFonts w:ascii="仿宋" w:eastAsia="仿宋" w:hint="eastAsia"/>
          <w:b w:val="0"/>
          <w:bCs w:val="0"/>
          <w:sz w:val="30"/>
          <w:szCs w:val="30"/>
          <w:highlight w:val="auto"/>
        </w:rPr>
        <w:t>个</w:t>
      </w:r>
      <w:r>
        <w:rPr>
          <w:rFonts w:ascii="仿宋" w:eastAsia="仿宋" w:hint="eastAsia"/>
          <w:b w:val="0"/>
          <w:bCs w:val="0"/>
          <w:sz w:val="30"/>
          <w:szCs w:val="30"/>
          <w:lang w:eastAsia="zh-CN"/>
          <w:highlight w:val="auto"/>
        </w:rPr>
        <w:t>，</w:t>
      </w:r>
      <w:r>
        <w:rPr>
          <w:rFonts w:ascii="仿宋" w:eastAsia="仿宋" w:hint="eastAsia"/>
          <w:b w:val="0"/>
          <w:bCs w:val="0"/>
          <w:sz w:val="30"/>
          <w:szCs w:val="30"/>
          <w:highlight w:val="auto"/>
        </w:rPr>
        <w:t>其中：</w:t>
      </w:r>
      <w:r>
        <w:rPr>
          <w:rFonts w:ascii="仿宋" w:eastAsia="仿宋"/>
          <w:b w:val="0"/>
          <w:bCs w:val="0"/>
          <w:sz w:val="30"/>
          <w:szCs w:val="30"/>
          <w:lang w:val="en-US" w:eastAsia="zh-CN"/>
          <w:highlight w:val="auto"/>
        </w:rPr>
        <w:t>5</w:t>
      </w:r>
      <w:r>
        <w:rPr>
          <w:rFonts w:ascii="仿宋" w:eastAsia="仿宋" w:hint="eastAsia"/>
          <w:b w:val="0"/>
          <w:bCs w:val="0"/>
          <w:sz w:val="30"/>
          <w:szCs w:val="30"/>
          <w:highlight w:val="auto"/>
        </w:rPr>
        <w:t>个项目未达到支出进度</w:t>
      </w:r>
      <w:r>
        <w:rPr>
          <w:rFonts w:ascii="仿宋" w:eastAsia="仿宋" w:hint="eastAsia"/>
          <w:b w:val="0"/>
          <w:bCs w:val="0"/>
          <w:sz w:val="30"/>
          <w:szCs w:val="30"/>
          <w:lang w:eastAsia="zh-CN"/>
          <w:highlight w:val="auto"/>
        </w:rPr>
        <w:t>。</w:t>
      </w:r>
      <w:r>
        <w:rPr>
          <w:rFonts w:ascii="仿宋" w:eastAsia="仿宋"/>
          <w:b w:val="0"/>
          <w:bCs w:val="0"/>
          <w:sz w:val="30"/>
          <w:szCs w:val="30"/>
          <w:lang w:eastAsia="zh-CN"/>
        </w:rPr>
        <w:t>主要是为节省运营成本缩减支出，有些项目2025年压减了预算</w:t>
      </w:r>
      <w:r>
        <w:rPr>
          <w:rFonts w:ascii="仿宋" w:eastAsia="仿宋" w:hint="eastAsia"/>
          <w:sz w:val="30"/>
          <w:szCs w:val="30"/>
          <w:lang w:val="en-US" w:eastAsia="zh-CN"/>
        </w:rPr>
        <w:t>。（3）从有效性情况分析，全面整合职能和资源，提升干部办事效率，优化服务质量；群众收入增加，幸福感提高。（4）从可持续性分析看，全面加强工作综合性，加大人力、资金投入。</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ind w:firstLineChars="200" w:firstLine="600"/>
        <w:rPr>
          <w:rFonts w:ascii="仿宋" w:eastAsia="仿宋" w:cs="Times New Roman" w:hint="eastAsia"/>
          <w:sz w:val="30"/>
          <w:szCs w:val="30"/>
        </w:rPr>
      </w:pPr>
      <w:r>
        <w:rPr>
          <w:rFonts w:ascii="仿宋" w:eastAsia="仿宋" w:cs="Times New Roman" w:hint="eastAsia"/>
          <w:sz w:val="30"/>
          <w:szCs w:val="30"/>
        </w:rPr>
        <w:t>预算编制工作有待细化。预算编制不够明确和细化，预算编制的合理性需要提高，预算执行力度还要进一步加强。</w:t>
      </w:r>
    </w:p>
    <w:p>
      <w:pPr>
        <w:ind w:firstLineChars="200" w:firstLine="600"/>
        <w:rPr>
          <w:rFonts w:ascii="仿宋" w:eastAsia="仿宋" w:cs="Times New Roman" w:hint="eastAsia"/>
          <w:sz w:val="30"/>
          <w:szCs w:val="30"/>
        </w:rPr>
      </w:pPr>
      <w:r>
        <w:rPr>
          <w:rFonts w:ascii="仿宋" w:eastAsia="仿宋" w:cs="Times New Roman" w:hint="eastAsia"/>
          <w:sz w:val="30"/>
          <w:szCs w:val="30"/>
        </w:rPr>
        <w:t>细化预算编制工作，认真做好预算的编制。全面编制预算项目，强化项目管理。加强财务管理，严格财务审核，严格按照规定的费用项目和用途进行资金审核、支付、核算，杜绝超支现象的发生。加强培训，特别是针对《预算法》《行政事业单位会计制度》等培训，规范部门预算收支核算，切实提高部门预算收支管理水平。</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ind w:firstLineChars="200" w:firstLine="600"/>
        <w:rPr>
          <w:rFonts w:ascii="仿宋" w:eastAsia="仿宋" w:cs="仿宋" w:hAnsi="宋体" w:hint="eastAsia"/>
          <w:b/>
          <w:sz w:val="30"/>
          <w:szCs w:val="30"/>
        </w:rPr>
      </w:pPr>
      <w:r>
        <w:rPr>
          <w:rFonts w:ascii="仿宋" w:eastAsia="仿宋" w:cs="仿宋" w:hAnsi="宋体" w:hint="eastAsia"/>
          <w:b/>
          <w:sz w:val="30"/>
          <w:szCs w:val="30"/>
        </w:rPr>
        <w:t>无</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 w:name="方正仿宋_GBK">
    <w:panose1 w:val="03000509000000000000"/>
    <w:charset w:val="86"/>
    <w:family w:val="script"/>
    <w:pitch w:val="variable"/>
    <w:sig w:usb0="00000001" w:usb1="080E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abstractNum w:abstractNumId="1">
    <w:nsid w:val="0F31A833"/>
    <w:multiLevelType w:val="hybridMultilevel"/>
    <w:tmpl w:val="00000000"/>
    <w:lvl w:ilvl="0">
      <w:start w:val="1"/>
      <w:numFmt w:val="decimal"/>
      <w:lvlRestart w:val="0"/>
      <w:lvlText w:val="%1．"/>
      <w:lvlJc w:val="left"/>
      <w:pPr>
        <w:ind w:left="1120" w:hanging="4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7"/>
    <w:basedOn w:val="0"/>
    <w:autoRedefine/>
    <w:next w:val="0"/>
    <w:pPr>
      <w:ind w:left="2520"/>
    </w:pPr>
  </w:style>
  <w:style w:type="paragraph" w:styleId="16">
    <w:name w:val="index 9"/>
    <w:basedOn w:val="0"/>
    <w:autoRedefine/>
    <w:next w:val="0"/>
    <w:pPr>
      <w:ind w:left="3360"/>
    </w:pPr>
  </w:style>
  <w:style w:type="paragraph" w:customStyle="1" w:styleId="17">
    <w:name w:val="插入文本样式-插入预算公开部门职责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18">
    <w:name w:val="[Normal]"/>
    <w:pPr>
      <w:widowControl w:val="0"/>
      <w:autoSpaceDE w:val="0"/>
      <w:autoSpaceDN w:val="0"/>
      <w:adjustRightInd w:val="0"/>
    </w:pPr>
    <w:rPr>
      <w:rFonts w:ascii="宋体" w:eastAsia="宋体" w:cs="Times New Roman" w:hAnsi="Times New Roman"/>
      <w:sz w:val="24"/>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25F3368-2739-4255-9CD3-865B909ABFA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135</TotalTime>
  <Application>Yozo_Office27021597764231179</Application>
  <Pages>7</Pages>
  <Words>0</Words>
  <Characters>2355</Characters>
  <Lines>0</Lines>
  <Paragraphs>59</Paragraphs>
  <CharactersWithSpaces>3141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dcterms:created xsi:type="dcterms:W3CDTF">2023-03-06T07:30:23Z</dcterms:created>
  <dcterms:modified xsi:type="dcterms:W3CDTF">2025-04-18T02:01:22Z</dcterms:modified>
</cp:coreProperties>
</file>