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D25F4F">
      <w:pPr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唐山市丰南区王兰庄镇</w:t>
      </w:r>
      <w:r>
        <w:rPr>
          <w:rFonts w:ascii="宋体" w:hAnsi="宋体" w:cs="仿宋" w:hint="eastAsia"/>
          <w:b/>
          <w:sz w:val="44"/>
          <w:szCs w:val="44"/>
        </w:rPr>
        <w:t>横沽</w:t>
      </w:r>
      <w:r>
        <w:rPr>
          <w:rFonts w:ascii="宋体" w:hAnsi="宋体" w:cs="仿宋" w:hint="eastAsia"/>
          <w:b/>
          <w:sz w:val="44"/>
          <w:szCs w:val="44"/>
        </w:rPr>
        <w:t>幼儿园</w:t>
      </w:r>
    </w:p>
    <w:p w:rsidR="005D39C3" w:rsidRDefault="00D25F4F">
      <w:pPr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2021</w:t>
      </w:r>
      <w:r>
        <w:rPr>
          <w:rFonts w:ascii="宋体" w:hAnsi="宋体" w:cs="仿宋" w:hint="eastAsia"/>
          <w:b/>
          <w:sz w:val="44"/>
          <w:szCs w:val="44"/>
        </w:rPr>
        <w:t>年单位预算</w:t>
      </w: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rPr>
          <w:rFonts w:ascii="宋体" w:hAnsi="宋体" w:cs="仿宋"/>
          <w:b/>
          <w:sz w:val="44"/>
          <w:szCs w:val="44"/>
        </w:rPr>
      </w:pPr>
    </w:p>
    <w:p w:rsidR="005D39C3" w:rsidRDefault="005D39C3">
      <w:pPr>
        <w:jc w:val="center"/>
        <w:rPr>
          <w:rFonts w:ascii="宋体" w:hAnsi="宋体" w:cs="仿宋"/>
          <w:b/>
          <w:sz w:val="32"/>
          <w:szCs w:val="32"/>
        </w:rPr>
      </w:pPr>
    </w:p>
    <w:p w:rsidR="005D39C3" w:rsidRDefault="005D39C3">
      <w:pPr>
        <w:jc w:val="center"/>
        <w:rPr>
          <w:rFonts w:ascii="宋体" w:hAnsi="宋体" w:cs="仿宋"/>
          <w:b/>
          <w:sz w:val="32"/>
          <w:szCs w:val="32"/>
        </w:rPr>
      </w:pPr>
    </w:p>
    <w:p w:rsidR="005D39C3" w:rsidRDefault="005D39C3">
      <w:pPr>
        <w:jc w:val="center"/>
        <w:rPr>
          <w:rFonts w:ascii="宋体" w:hAnsi="宋体" w:cs="仿宋"/>
          <w:b/>
          <w:sz w:val="32"/>
          <w:szCs w:val="32"/>
        </w:rPr>
      </w:pPr>
    </w:p>
    <w:p w:rsidR="005D39C3" w:rsidRDefault="005D39C3">
      <w:pPr>
        <w:jc w:val="center"/>
        <w:rPr>
          <w:rFonts w:ascii="宋体" w:hAnsi="宋体" w:cs="仿宋"/>
          <w:b/>
          <w:sz w:val="32"/>
          <w:szCs w:val="32"/>
        </w:rPr>
      </w:pPr>
    </w:p>
    <w:p w:rsidR="005D39C3" w:rsidRDefault="005D39C3">
      <w:pPr>
        <w:jc w:val="center"/>
        <w:rPr>
          <w:rFonts w:ascii="宋体" w:hAnsi="宋体" w:cs="仿宋"/>
          <w:b/>
          <w:sz w:val="32"/>
          <w:szCs w:val="32"/>
        </w:rPr>
      </w:pPr>
    </w:p>
    <w:p w:rsidR="005D39C3" w:rsidRDefault="00D25F4F">
      <w:pPr>
        <w:jc w:val="center"/>
        <w:rPr>
          <w:rFonts w:ascii="宋体" w:hAnsi="宋体" w:cs="仿宋"/>
          <w:b/>
          <w:sz w:val="32"/>
          <w:szCs w:val="32"/>
        </w:rPr>
      </w:pPr>
      <w:r>
        <w:rPr>
          <w:rFonts w:ascii="宋体" w:hAnsi="宋体" w:cs="仿宋" w:hint="eastAsia"/>
          <w:b/>
          <w:sz w:val="32"/>
          <w:szCs w:val="32"/>
        </w:rPr>
        <w:t>2021</w:t>
      </w:r>
      <w:r>
        <w:rPr>
          <w:rFonts w:ascii="宋体" w:hAnsi="宋体" w:cs="仿宋" w:hint="eastAsia"/>
          <w:b/>
          <w:sz w:val="32"/>
          <w:szCs w:val="32"/>
        </w:rPr>
        <w:t>年</w:t>
      </w:r>
      <w:r>
        <w:rPr>
          <w:rFonts w:ascii="宋体" w:hAnsi="宋体" w:cs="仿宋" w:hint="eastAsia"/>
          <w:b/>
          <w:sz w:val="32"/>
          <w:szCs w:val="32"/>
        </w:rPr>
        <w:t>3</w:t>
      </w:r>
      <w:r>
        <w:rPr>
          <w:rFonts w:ascii="宋体" w:hAnsi="宋体" w:cs="仿宋" w:hint="eastAsia"/>
          <w:b/>
          <w:sz w:val="32"/>
          <w:szCs w:val="32"/>
        </w:rPr>
        <w:t>月</w:t>
      </w:r>
    </w:p>
    <w:p w:rsidR="005D39C3" w:rsidRDefault="005D39C3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5D39C3" w:rsidRDefault="005D39C3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5D39C3" w:rsidRDefault="005D39C3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5D39C3" w:rsidRDefault="005D39C3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5D39C3" w:rsidRDefault="00D25F4F"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lastRenderedPageBreak/>
        <w:t>202</w:t>
      </w:r>
      <w:r>
        <w:rPr>
          <w:rFonts w:ascii="宋体" w:hAnsi="宋体" w:cs="宋体" w:hint="eastAsia"/>
          <w:b/>
          <w:sz w:val="44"/>
          <w:szCs w:val="44"/>
        </w:rPr>
        <w:t>1</w:t>
      </w:r>
      <w:r>
        <w:rPr>
          <w:rFonts w:ascii="宋体" w:hAnsi="宋体" w:cs="宋体" w:hint="eastAsia"/>
          <w:b/>
          <w:sz w:val="44"/>
          <w:szCs w:val="44"/>
        </w:rPr>
        <w:t>年单位预算公开目录</w:t>
      </w:r>
    </w:p>
    <w:p w:rsidR="005D39C3" w:rsidRDefault="005D39C3">
      <w:pPr>
        <w:ind w:firstLineChars="400" w:firstLine="1285"/>
        <w:rPr>
          <w:rFonts w:ascii="仿宋" w:eastAsia="仿宋" w:hAnsi="仿宋" w:cs="仿宋"/>
          <w:b/>
          <w:bCs/>
          <w:color w:val="000000"/>
          <w:sz w:val="32"/>
          <w:szCs w:val="32"/>
        </w:rPr>
      </w:pPr>
    </w:p>
    <w:p w:rsidR="005D39C3" w:rsidRDefault="00D25F4F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第一部分</w:t>
      </w:r>
      <w:r>
        <w:rPr>
          <w:rFonts w:ascii="宋体" w:hAnsi="宋体" w:cs="宋体" w:hint="eastAsia"/>
          <w:b/>
          <w:sz w:val="28"/>
          <w:szCs w:val="28"/>
        </w:rPr>
        <w:t xml:space="preserve"> 202</w:t>
      </w:r>
      <w:r>
        <w:rPr>
          <w:rFonts w:ascii="宋体" w:hAnsi="宋体" w:cs="宋体" w:hint="eastAsia"/>
          <w:b/>
          <w:sz w:val="28"/>
          <w:szCs w:val="28"/>
        </w:rPr>
        <w:t>1</w:t>
      </w:r>
      <w:r>
        <w:rPr>
          <w:rFonts w:ascii="宋体" w:hAnsi="宋体" w:cs="宋体" w:hint="eastAsia"/>
          <w:b/>
          <w:sz w:val="28"/>
          <w:szCs w:val="28"/>
        </w:rPr>
        <w:t>年单位预算公开有关事项的说明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一、单位职责及机构设置情况</w:t>
      </w:r>
    </w:p>
    <w:p w:rsidR="005D39C3" w:rsidRDefault="00D25F4F">
      <w:pPr>
        <w:tabs>
          <w:tab w:val="left" w:pos="4820"/>
        </w:tabs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二、单位预算安排的总体情况</w:t>
      </w:r>
    </w:p>
    <w:p w:rsidR="005D39C3" w:rsidRDefault="00D25F4F">
      <w:pPr>
        <w:autoSpaceDE w:val="0"/>
        <w:autoSpaceDN w:val="0"/>
        <w:adjustRightInd w:val="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三、机关（单位）运行经费安排情况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四、财政拨款“三公”经费预算情况及增减变化原因</w:t>
      </w:r>
    </w:p>
    <w:p w:rsidR="005D39C3" w:rsidRDefault="00D25F4F">
      <w:pPr>
        <w:autoSpaceDE w:val="0"/>
        <w:autoSpaceDN w:val="0"/>
        <w:adjustRightInd w:val="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五、绩效预算信息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六、政府采购预算信息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七、国有资产信息</w:t>
      </w:r>
    </w:p>
    <w:p w:rsidR="005D39C3" w:rsidRDefault="00D25F4F">
      <w:pPr>
        <w:autoSpaceDE w:val="0"/>
        <w:autoSpaceDN w:val="0"/>
        <w:adjustRightInd w:val="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八、名词解释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九、其他需要说明的事项</w:t>
      </w:r>
    </w:p>
    <w:p w:rsidR="005D39C3" w:rsidRDefault="00D25F4F">
      <w:pPr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第二部分</w: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sz w:val="28"/>
          <w:szCs w:val="28"/>
        </w:rPr>
        <w:t>2021</w:t>
      </w:r>
      <w:r>
        <w:rPr>
          <w:rFonts w:ascii="宋体" w:hAnsi="宋体" w:cs="宋体" w:hint="eastAsia"/>
          <w:b/>
          <w:sz w:val="28"/>
          <w:szCs w:val="28"/>
        </w:rPr>
        <w:t>年部门预算公开报表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一、部门预算收支总表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二、部门预算收入总表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三、部门预算支出总表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四、部门预算财政拨款收支总表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五、部门预算一般公共预算财政拨款支出表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六、部门预算一般公共预算财政拨款基本支出表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七、部门预算政府基金预算财政拨款支出表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八、部门预算国有资本经营预算财政拨款支出表</w:t>
      </w:r>
    </w:p>
    <w:p w:rsidR="005D39C3" w:rsidRDefault="00D25F4F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九、部门预算财政拨款“三公”经费支出表</w:t>
      </w:r>
    </w:p>
    <w:p w:rsidR="005D39C3" w:rsidRDefault="005D39C3">
      <w:pPr>
        <w:rPr>
          <w:rFonts w:ascii="仿宋_GB2312" w:eastAsia="仿宋_GB2312" w:hAnsi="Times New Roman"/>
          <w:b/>
          <w:sz w:val="22"/>
          <w:szCs w:val="20"/>
        </w:rPr>
      </w:pPr>
    </w:p>
    <w:p w:rsidR="005D39C3" w:rsidRDefault="005D39C3">
      <w:pPr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</w:p>
    <w:p w:rsidR="005D39C3" w:rsidRDefault="00D25F4F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唐山市丰南区王兰庄镇</w:t>
      </w:r>
      <w:r>
        <w:rPr>
          <w:rFonts w:ascii="宋体" w:hAnsi="宋体" w:cs="宋体" w:hint="eastAsia"/>
          <w:b/>
          <w:sz w:val="44"/>
          <w:szCs w:val="44"/>
        </w:rPr>
        <w:t>横沽</w:t>
      </w:r>
      <w:r>
        <w:rPr>
          <w:rFonts w:ascii="宋体" w:hAnsi="宋体" w:cs="宋体" w:hint="eastAsia"/>
          <w:b/>
          <w:sz w:val="44"/>
          <w:szCs w:val="44"/>
        </w:rPr>
        <w:t>幼儿园</w:t>
      </w:r>
    </w:p>
    <w:p w:rsidR="005D39C3" w:rsidRDefault="00D25F4F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2021</w:t>
      </w:r>
      <w:r>
        <w:rPr>
          <w:rFonts w:ascii="宋体" w:hAnsi="宋体" w:cs="宋体" w:hint="eastAsia"/>
          <w:b/>
          <w:sz w:val="44"/>
          <w:szCs w:val="44"/>
        </w:rPr>
        <w:t>年单位预算公开有关事项的说明</w:t>
      </w:r>
    </w:p>
    <w:p w:rsidR="005D39C3" w:rsidRDefault="005D39C3">
      <w:pPr>
        <w:spacing w:line="560" w:lineRule="exact"/>
        <w:jc w:val="left"/>
        <w:rPr>
          <w:rFonts w:ascii="仿宋_GB2312" w:eastAsia="仿宋_GB2312"/>
          <w:b/>
          <w:sz w:val="44"/>
          <w:szCs w:val="44"/>
        </w:rPr>
      </w:pPr>
    </w:p>
    <w:p w:rsidR="005D39C3" w:rsidRDefault="00D25F4F">
      <w:pPr>
        <w:spacing w:line="560" w:lineRule="exact"/>
        <w:ind w:firstLine="6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按照《预算法》、《河北省预决算公开操作规程实施细则》规定，现将唐山市丰南区王兰庄镇</w:t>
      </w:r>
      <w:r>
        <w:rPr>
          <w:rFonts w:ascii="宋体" w:hAnsi="宋体" w:cs="宋体" w:hint="eastAsia"/>
          <w:sz w:val="28"/>
          <w:szCs w:val="28"/>
        </w:rPr>
        <w:t>横沽</w:t>
      </w:r>
      <w:r>
        <w:rPr>
          <w:rFonts w:ascii="宋体" w:hAnsi="宋体" w:cs="宋体" w:hint="eastAsia"/>
          <w:sz w:val="28"/>
          <w:szCs w:val="28"/>
        </w:rPr>
        <w:t>幼儿园</w:t>
      </w: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年单位预算公开如下：</w:t>
      </w:r>
    </w:p>
    <w:p w:rsidR="005D39C3" w:rsidRDefault="00D25F4F">
      <w:pPr>
        <w:spacing w:line="560" w:lineRule="exact"/>
        <w:ind w:firstLine="6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一、</w:t>
      </w:r>
      <w:r>
        <w:rPr>
          <w:rFonts w:ascii="宋体" w:hAnsi="宋体" w:cs="宋体" w:hint="eastAsia"/>
          <w:b/>
          <w:color w:val="000000"/>
          <w:sz w:val="28"/>
          <w:szCs w:val="28"/>
        </w:rPr>
        <w:t>单位职责及机构设置情况</w:t>
      </w:r>
    </w:p>
    <w:p w:rsidR="005D39C3" w:rsidRDefault="00D25F4F">
      <w:pPr>
        <w:spacing w:line="560" w:lineRule="exact"/>
        <w:ind w:firstLine="6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1</w:t>
      </w:r>
      <w:r>
        <w:rPr>
          <w:rFonts w:ascii="宋体" w:hAnsi="宋体" w:cs="宋体" w:hint="eastAsia"/>
          <w:b/>
          <w:sz w:val="28"/>
          <w:szCs w:val="28"/>
        </w:rPr>
        <w:t>、单位职责：</w:t>
      </w:r>
    </w:p>
    <w:p w:rsidR="005D39C3" w:rsidRDefault="00D25F4F">
      <w:pPr>
        <w:spacing w:line="560" w:lineRule="exact"/>
        <w:ind w:firstLine="680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承担学前教育职责，为学龄前儿童提供保育和教育服务。</w:t>
      </w:r>
    </w:p>
    <w:p w:rsidR="005D39C3" w:rsidRDefault="00D25F4F">
      <w:pPr>
        <w:spacing w:line="560" w:lineRule="exact"/>
        <w:ind w:firstLine="68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2</w:t>
      </w:r>
      <w:r>
        <w:rPr>
          <w:rFonts w:ascii="宋体" w:hAnsi="宋体" w:cs="宋体" w:hint="eastAsia"/>
          <w:b/>
          <w:sz w:val="28"/>
          <w:szCs w:val="28"/>
        </w:rPr>
        <w:t>、机构设置：</w: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99"/>
        <w:tblW w:w="88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701"/>
        <w:gridCol w:w="2410"/>
      </w:tblGrid>
      <w:tr w:rsidR="005D39C3">
        <w:trPr>
          <w:trHeight w:val="300"/>
          <w:tblHeader/>
        </w:trPr>
        <w:tc>
          <w:tcPr>
            <w:tcW w:w="3227" w:type="dxa"/>
            <w:vMerge w:val="restart"/>
            <w:vAlign w:val="center"/>
          </w:tcPr>
          <w:p w:rsidR="005D39C3" w:rsidRDefault="00D25F4F">
            <w:pPr>
              <w:spacing w:line="300" w:lineRule="exact"/>
              <w:ind w:firstLine="200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单位名称</w:t>
            </w:r>
          </w:p>
        </w:tc>
        <w:tc>
          <w:tcPr>
            <w:tcW w:w="1559" w:type="dxa"/>
            <w:vMerge w:val="restart"/>
            <w:vAlign w:val="center"/>
          </w:tcPr>
          <w:p w:rsidR="005D39C3" w:rsidRDefault="00D25F4F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单位性质</w:t>
            </w:r>
          </w:p>
        </w:tc>
        <w:tc>
          <w:tcPr>
            <w:tcW w:w="1701" w:type="dxa"/>
            <w:vMerge w:val="restart"/>
            <w:vAlign w:val="center"/>
          </w:tcPr>
          <w:p w:rsidR="005D39C3" w:rsidRDefault="00D25F4F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单位规格</w:t>
            </w:r>
          </w:p>
        </w:tc>
        <w:tc>
          <w:tcPr>
            <w:tcW w:w="2410" w:type="dxa"/>
            <w:vMerge w:val="restart"/>
            <w:vAlign w:val="center"/>
          </w:tcPr>
          <w:p w:rsidR="005D39C3" w:rsidRDefault="00D25F4F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经费保障形式</w:t>
            </w:r>
          </w:p>
        </w:tc>
      </w:tr>
      <w:tr w:rsidR="005D39C3">
        <w:trPr>
          <w:trHeight w:val="300"/>
          <w:tblHeader/>
        </w:trPr>
        <w:tc>
          <w:tcPr>
            <w:tcW w:w="3227" w:type="dxa"/>
            <w:vMerge/>
            <w:vAlign w:val="center"/>
          </w:tcPr>
          <w:p w:rsidR="005D39C3" w:rsidRDefault="005D39C3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D39C3" w:rsidRDefault="005D39C3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D39C3" w:rsidRDefault="005D39C3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2410" w:type="dxa"/>
            <w:vMerge/>
            <w:vAlign w:val="center"/>
          </w:tcPr>
          <w:p w:rsidR="005D39C3" w:rsidRDefault="005D39C3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</w:tr>
      <w:tr w:rsidR="005D39C3">
        <w:trPr>
          <w:trHeight w:val="460"/>
        </w:trPr>
        <w:tc>
          <w:tcPr>
            <w:tcW w:w="3227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丰南区王兰庄镇横沽</w:t>
            </w:r>
            <w:r>
              <w:rPr>
                <w:rFonts w:ascii="宋体" w:hAnsi="宋体" w:hint="eastAsia"/>
                <w:sz w:val="24"/>
              </w:rPr>
              <w:t>幼儿园</w:t>
            </w:r>
          </w:p>
        </w:tc>
        <w:tc>
          <w:tcPr>
            <w:tcW w:w="1559" w:type="dxa"/>
            <w:vAlign w:val="center"/>
          </w:tcPr>
          <w:p w:rsidR="005D39C3" w:rsidRDefault="00D25F4F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事业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其他</w:t>
            </w:r>
          </w:p>
        </w:tc>
        <w:tc>
          <w:tcPr>
            <w:tcW w:w="2410" w:type="dxa"/>
            <w:vAlign w:val="center"/>
          </w:tcPr>
          <w:p w:rsidR="005D39C3" w:rsidRDefault="00D25F4F">
            <w:pPr>
              <w:spacing w:line="300" w:lineRule="exact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财政</w:t>
            </w:r>
            <w:r>
              <w:rPr>
                <w:rFonts w:ascii="宋体" w:hAnsi="宋体" w:cs="仿宋" w:hint="eastAsia"/>
                <w:color w:val="000000"/>
                <w:sz w:val="24"/>
              </w:rPr>
              <w:t>性资金基本保障</w:t>
            </w:r>
          </w:p>
        </w:tc>
      </w:tr>
    </w:tbl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内设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个行政机构，具体包括：办公室、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教研组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3</w:t>
      </w:r>
      <w:r>
        <w:rPr>
          <w:rFonts w:ascii="宋体" w:hAnsi="宋体" w:cs="宋体" w:hint="eastAsia"/>
          <w:b/>
          <w:sz w:val="28"/>
          <w:szCs w:val="28"/>
        </w:rPr>
        <w:t>、人员构成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我单位财政供养实有在职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人，劳务派遣人员</w:t>
      </w:r>
      <w:r>
        <w:rPr>
          <w:rFonts w:ascii="宋体" w:hAnsi="宋体" w:cs="宋体" w:hint="eastAsia"/>
          <w:sz w:val="28"/>
          <w:szCs w:val="28"/>
        </w:rPr>
        <w:t>11</w:t>
      </w:r>
      <w:r>
        <w:rPr>
          <w:rFonts w:ascii="宋体" w:hAnsi="宋体" w:cs="宋体" w:hint="eastAsia"/>
          <w:sz w:val="28"/>
          <w:szCs w:val="28"/>
        </w:rPr>
        <w:t>人。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二、单位预算安排的总体情况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1</w:t>
      </w:r>
      <w:r>
        <w:rPr>
          <w:rFonts w:ascii="宋体" w:hAnsi="宋体" w:cs="宋体" w:hint="eastAsia"/>
          <w:b/>
          <w:sz w:val="28"/>
          <w:szCs w:val="28"/>
        </w:rPr>
        <w:t>、收入预算说明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年单位收入预算</w:t>
      </w:r>
      <w:r>
        <w:rPr>
          <w:rFonts w:ascii="宋体" w:hAnsi="宋体" w:cs="宋体" w:hint="eastAsia"/>
          <w:sz w:val="28"/>
          <w:szCs w:val="28"/>
        </w:rPr>
        <w:t>75.33</w:t>
      </w:r>
      <w:r>
        <w:rPr>
          <w:rFonts w:ascii="宋体" w:hAnsi="宋体" w:cs="宋体" w:hint="eastAsia"/>
          <w:sz w:val="28"/>
          <w:szCs w:val="28"/>
        </w:rPr>
        <w:t>万元，其中：一般公共预算拨款</w:t>
      </w:r>
      <w:r>
        <w:rPr>
          <w:rFonts w:ascii="宋体" w:hAnsi="宋体" w:cs="宋体" w:hint="eastAsia"/>
          <w:sz w:val="28"/>
          <w:szCs w:val="28"/>
        </w:rPr>
        <w:t>75.33</w:t>
      </w:r>
      <w:r>
        <w:rPr>
          <w:rFonts w:ascii="宋体" w:hAnsi="宋体" w:cs="宋体" w:hint="eastAsia"/>
          <w:sz w:val="28"/>
          <w:szCs w:val="28"/>
        </w:rPr>
        <w:t>万元，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政府性基金预算拨款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万元，国有资本经营预算拨款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万元，财政专户核拨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万元，其它来源收入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2</w:t>
      </w:r>
      <w:r>
        <w:rPr>
          <w:rFonts w:ascii="宋体" w:hAnsi="宋体" w:cs="宋体" w:hint="eastAsia"/>
          <w:b/>
          <w:sz w:val="28"/>
          <w:szCs w:val="28"/>
        </w:rPr>
        <w:t>、支出预算说明</w: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年支出预算</w:t>
      </w:r>
      <w:r>
        <w:rPr>
          <w:rFonts w:ascii="宋体" w:hAnsi="宋体" w:cs="宋体" w:hint="eastAsia"/>
          <w:sz w:val="28"/>
          <w:szCs w:val="28"/>
        </w:rPr>
        <w:t>75.33</w:t>
      </w:r>
      <w:r>
        <w:rPr>
          <w:rFonts w:ascii="宋体" w:hAnsi="宋体" w:cs="宋体" w:hint="eastAsia"/>
          <w:sz w:val="28"/>
          <w:szCs w:val="28"/>
        </w:rPr>
        <w:t>万元，其中：人员经费支出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万元，日常公用经费支出</w:t>
      </w:r>
      <w:r>
        <w:rPr>
          <w:rFonts w:ascii="宋体" w:hAnsi="宋体" w:cs="宋体" w:hint="eastAsia"/>
          <w:sz w:val="28"/>
          <w:szCs w:val="28"/>
        </w:rPr>
        <w:t>23.92</w:t>
      </w:r>
      <w:r>
        <w:rPr>
          <w:rFonts w:ascii="宋体" w:hAnsi="宋体" w:cs="宋体" w:hint="eastAsia"/>
          <w:sz w:val="28"/>
          <w:szCs w:val="28"/>
        </w:rPr>
        <w:t>万元；项目支出</w:t>
      </w:r>
      <w:r>
        <w:rPr>
          <w:rFonts w:ascii="宋体" w:hAnsi="宋体" w:cs="宋体" w:hint="eastAsia"/>
          <w:sz w:val="28"/>
          <w:szCs w:val="28"/>
        </w:rPr>
        <w:t>51.41</w:t>
      </w:r>
      <w:r>
        <w:rPr>
          <w:rFonts w:ascii="宋体" w:hAnsi="宋体" w:cs="宋体" w:hint="eastAsia"/>
          <w:sz w:val="28"/>
          <w:szCs w:val="28"/>
        </w:rPr>
        <w:t>万元，主要用于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劳务派遣人员工资及保险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45.68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万元、学前教育生均公用经费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5.73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3</w:t>
      </w:r>
      <w:r>
        <w:rPr>
          <w:rFonts w:ascii="宋体" w:hAnsi="宋体" w:cs="宋体" w:hint="eastAsia"/>
          <w:b/>
          <w:sz w:val="28"/>
          <w:szCs w:val="28"/>
        </w:rPr>
        <w:t>、单位预算较上年增减情况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2021</w:t>
      </w:r>
      <w:r>
        <w:rPr>
          <w:rFonts w:ascii="宋体" w:hAnsi="宋体" w:cs="宋体" w:hint="eastAsia"/>
          <w:sz w:val="28"/>
          <w:szCs w:val="28"/>
        </w:rPr>
        <w:t>年收入预算较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增加</w:t>
      </w:r>
      <w:r>
        <w:rPr>
          <w:rFonts w:ascii="宋体" w:hAnsi="宋体" w:cs="宋体" w:hint="eastAsia"/>
          <w:sz w:val="28"/>
          <w:szCs w:val="28"/>
        </w:rPr>
        <w:t>15.61</w:t>
      </w:r>
      <w:r>
        <w:rPr>
          <w:rFonts w:ascii="宋体" w:hAnsi="宋体" w:cs="宋体" w:hint="eastAsia"/>
          <w:sz w:val="28"/>
          <w:szCs w:val="28"/>
        </w:rPr>
        <w:t>万元。主要原因是</w:t>
      </w:r>
      <w:r>
        <w:rPr>
          <w:rFonts w:ascii="宋体" w:hAnsi="宋体" w:cs="宋体" w:hint="eastAsia"/>
          <w:sz w:val="28"/>
          <w:szCs w:val="28"/>
        </w:rPr>
        <w:t>保教费收费标准提高</w:t>
      </w:r>
      <w:r>
        <w:rPr>
          <w:rFonts w:ascii="宋体" w:hAnsi="宋体" w:cs="宋体" w:hint="eastAsia"/>
          <w:sz w:val="28"/>
          <w:szCs w:val="28"/>
        </w:rPr>
        <w:t>以及幼儿劳务派遣人员</w:t>
      </w:r>
      <w:r>
        <w:rPr>
          <w:rFonts w:ascii="宋体" w:hAnsi="宋体" w:cs="宋体" w:hint="eastAsia"/>
          <w:sz w:val="28"/>
          <w:szCs w:val="28"/>
        </w:rPr>
        <w:t>增加</w:t>
      </w:r>
      <w:r>
        <w:rPr>
          <w:rFonts w:ascii="宋体" w:hAnsi="宋体" w:cs="宋体" w:hint="eastAsia"/>
          <w:sz w:val="28"/>
          <w:szCs w:val="28"/>
        </w:rPr>
        <w:t>预算收入</w:t>
      </w:r>
      <w:r>
        <w:rPr>
          <w:rFonts w:ascii="宋体" w:hAnsi="宋体" w:cs="宋体" w:hint="eastAsia"/>
          <w:sz w:val="28"/>
          <w:szCs w:val="28"/>
        </w:rPr>
        <w:t>增加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年支出预算较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增加</w:t>
      </w:r>
      <w:r>
        <w:rPr>
          <w:rFonts w:ascii="宋体" w:hAnsi="宋体" w:cs="宋体" w:hint="eastAsia"/>
          <w:sz w:val="28"/>
          <w:szCs w:val="28"/>
        </w:rPr>
        <w:t>15.61</w:t>
      </w:r>
      <w:r>
        <w:rPr>
          <w:rFonts w:ascii="宋体" w:hAnsi="宋体" w:cs="宋体" w:hint="eastAsia"/>
          <w:sz w:val="28"/>
          <w:szCs w:val="28"/>
        </w:rPr>
        <w:t>万元，其中：基本支出</w:t>
      </w:r>
      <w:r>
        <w:rPr>
          <w:rFonts w:ascii="宋体" w:hAnsi="宋体" w:cs="宋体" w:hint="eastAsia"/>
          <w:sz w:val="28"/>
          <w:szCs w:val="28"/>
        </w:rPr>
        <w:t>增加</w:t>
      </w:r>
      <w:r>
        <w:rPr>
          <w:rFonts w:ascii="宋体" w:hAnsi="宋体" w:cs="宋体" w:hint="eastAsia"/>
          <w:sz w:val="28"/>
          <w:szCs w:val="28"/>
        </w:rPr>
        <w:t>4.92</w:t>
      </w:r>
      <w:r>
        <w:rPr>
          <w:rFonts w:ascii="宋体" w:hAnsi="宋体" w:cs="宋体" w:hint="eastAsia"/>
          <w:sz w:val="28"/>
          <w:szCs w:val="28"/>
        </w:rPr>
        <w:t>万元，主要由于日常公用经费较去年增加</w:t>
      </w:r>
      <w:r>
        <w:rPr>
          <w:rFonts w:ascii="宋体" w:hAnsi="宋体" w:cs="宋体" w:hint="eastAsia"/>
          <w:sz w:val="28"/>
          <w:szCs w:val="28"/>
        </w:rPr>
        <w:t>4.92</w:t>
      </w:r>
      <w:r>
        <w:rPr>
          <w:rFonts w:ascii="宋体" w:hAnsi="宋体" w:cs="宋体" w:hint="eastAsia"/>
          <w:sz w:val="28"/>
          <w:szCs w:val="28"/>
        </w:rPr>
        <w:t>万元；而劳务派遣人员增加，工资较去年随之增加</w:t>
      </w:r>
      <w:r>
        <w:rPr>
          <w:rFonts w:ascii="宋体" w:hAnsi="宋体" w:cs="宋体" w:hint="eastAsia"/>
          <w:sz w:val="28"/>
          <w:szCs w:val="28"/>
        </w:rPr>
        <w:t>10.24</w:t>
      </w:r>
      <w:r>
        <w:rPr>
          <w:rFonts w:ascii="宋体" w:hAnsi="宋体" w:cs="宋体" w:hint="eastAsia"/>
          <w:sz w:val="28"/>
          <w:szCs w:val="28"/>
        </w:rPr>
        <w:t>万元，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学前教育生均公用经费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0.45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从而支出预算整体上较去年增加。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三、机关</w:t>
      </w:r>
      <w:r>
        <w:rPr>
          <w:rFonts w:ascii="宋体" w:hAnsi="宋体" w:cs="宋体" w:hint="eastAsia"/>
          <w:b/>
          <w:sz w:val="28"/>
          <w:szCs w:val="28"/>
        </w:rPr>
        <w:t>(</w:t>
      </w:r>
      <w:r>
        <w:rPr>
          <w:rFonts w:ascii="宋体" w:hAnsi="宋体" w:cs="宋体" w:hint="eastAsia"/>
          <w:b/>
          <w:sz w:val="28"/>
          <w:szCs w:val="28"/>
        </w:rPr>
        <w:t>事业</w:t>
      </w:r>
      <w:r>
        <w:rPr>
          <w:rFonts w:ascii="宋体" w:hAnsi="宋体" w:cs="宋体" w:hint="eastAsia"/>
          <w:b/>
          <w:sz w:val="28"/>
          <w:szCs w:val="28"/>
        </w:rPr>
        <w:t>)</w:t>
      </w:r>
      <w:r>
        <w:rPr>
          <w:rFonts w:ascii="宋体" w:hAnsi="宋体" w:cs="宋体" w:hint="eastAsia"/>
          <w:b/>
          <w:sz w:val="28"/>
          <w:szCs w:val="28"/>
        </w:rPr>
        <w:t>运行经费安排情况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年我单位机关（事业）运行经费共计</w:t>
      </w:r>
      <w:r>
        <w:rPr>
          <w:rFonts w:ascii="宋体" w:hAnsi="宋体" w:cs="宋体" w:hint="eastAsia"/>
          <w:sz w:val="28"/>
          <w:szCs w:val="28"/>
        </w:rPr>
        <w:t>23.92</w:t>
      </w:r>
      <w:r>
        <w:rPr>
          <w:rFonts w:ascii="宋体" w:hAnsi="宋体" w:cs="宋体" w:hint="eastAsia"/>
          <w:sz w:val="28"/>
          <w:szCs w:val="28"/>
        </w:rPr>
        <w:t>万元，</w:t>
      </w:r>
      <w:r>
        <w:rPr>
          <w:rFonts w:ascii="宋体" w:hAnsi="宋体" w:cs="宋体" w:hint="eastAsia"/>
          <w:color w:val="000000"/>
          <w:sz w:val="28"/>
          <w:szCs w:val="28"/>
        </w:rPr>
        <w:t>包括包括办公费</w:t>
      </w:r>
      <w:r>
        <w:rPr>
          <w:rFonts w:ascii="宋体" w:hAnsi="宋体" w:cs="宋体" w:hint="eastAsia"/>
          <w:color w:val="000000"/>
          <w:sz w:val="28"/>
          <w:szCs w:val="28"/>
        </w:rPr>
        <w:t>0.5</w:t>
      </w:r>
      <w:r>
        <w:rPr>
          <w:rFonts w:ascii="宋体" w:hAnsi="宋体" w:cs="宋体" w:hint="eastAsia"/>
          <w:color w:val="000000"/>
          <w:sz w:val="28"/>
          <w:szCs w:val="28"/>
        </w:rPr>
        <w:t>万元、</w:t>
      </w:r>
      <w:r>
        <w:rPr>
          <w:rFonts w:ascii="宋体" w:hAnsi="宋体" w:cs="宋体" w:hint="eastAsia"/>
          <w:color w:val="000000"/>
          <w:sz w:val="28"/>
          <w:szCs w:val="28"/>
        </w:rPr>
        <w:t>水</w:t>
      </w:r>
      <w:r>
        <w:rPr>
          <w:rFonts w:ascii="宋体" w:hAnsi="宋体" w:cs="宋体" w:hint="eastAsia"/>
          <w:color w:val="000000"/>
          <w:sz w:val="28"/>
          <w:szCs w:val="28"/>
        </w:rPr>
        <w:t>费</w:t>
      </w:r>
      <w:r>
        <w:rPr>
          <w:rFonts w:ascii="宋体" w:hAnsi="宋体" w:cs="宋体" w:hint="eastAsia"/>
          <w:color w:val="000000"/>
          <w:sz w:val="28"/>
          <w:szCs w:val="28"/>
        </w:rPr>
        <w:t>0.</w:t>
      </w:r>
      <w:r>
        <w:rPr>
          <w:rFonts w:ascii="宋体" w:hAnsi="宋体" w:cs="宋体" w:hint="eastAsia"/>
          <w:color w:val="00000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sz w:val="28"/>
          <w:szCs w:val="28"/>
        </w:rPr>
        <w:t>万元、电费</w:t>
      </w:r>
      <w:r>
        <w:rPr>
          <w:rFonts w:ascii="宋体" w:hAnsi="宋体" w:cs="宋体" w:hint="eastAsia"/>
          <w:color w:val="000000"/>
          <w:sz w:val="28"/>
          <w:szCs w:val="28"/>
        </w:rPr>
        <w:t>0.9</w:t>
      </w:r>
      <w:r>
        <w:rPr>
          <w:rFonts w:ascii="宋体" w:hAnsi="宋体" w:cs="宋体" w:hint="eastAsia"/>
          <w:color w:val="000000"/>
          <w:sz w:val="28"/>
          <w:szCs w:val="28"/>
        </w:rPr>
        <w:t>万元、邮电费</w:t>
      </w:r>
      <w:r>
        <w:rPr>
          <w:rFonts w:ascii="宋体" w:hAnsi="宋体" w:cs="宋体" w:hint="eastAsia"/>
          <w:color w:val="000000"/>
          <w:sz w:val="28"/>
          <w:szCs w:val="28"/>
        </w:rPr>
        <w:t>0.35</w:t>
      </w:r>
      <w:r>
        <w:rPr>
          <w:rFonts w:ascii="宋体" w:hAnsi="宋体" w:cs="宋体" w:hint="eastAsia"/>
          <w:color w:val="000000"/>
          <w:sz w:val="28"/>
          <w:szCs w:val="28"/>
        </w:rPr>
        <w:t>万元、物业管理费</w:t>
      </w:r>
      <w:r>
        <w:rPr>
          <w:rFonts w:ascii="宋体" w:hAnsi="宋体" w:cs="宋体" w:hint="eastAsia"/>
          <w:color w:val="000000"/>
          <w:sz w:val="28"/>
          <w:szCs w:val="28"/>
        </w:rPr>
        <w:t>0.3</w:t>
      </w:r>
      <w:r>
        <w:rPr>
          <w:rFonts w:ascii="宋体" w:hAnsi="宋体" w:cs="宋体" w:hint="eastAsia"/>
          <w:color w:val="000000"/>
          <w:sz w:val="28"/>
          <w:szCs w:val="28"/>
        </w:rPr>
        <w:t>万元、差旅费</w:t>
      </w:r>
      <w:r>
        <w:rPr>
          <w:rFonts w:ascii="宋体" w:hAnsi="宋体" w:cs="宋体" w:hint="eastAsia"/>
          <w:color w:val="000000"/>
          <w:sz w:val="28"/>
          <w:szCs w:val="28"/>
        </w:rPr>
        <w:t>0.</w:t>
      </w:r>
      <w:r>
        <w:rPr>
          <w:rFonts w:ascii="宋体" w:hAnsi="宋体" w:cs="宋体" w:hint="eastAsia"/>
          <w:color w:val="00000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sz w:val="28"/>
          <w:szCs w:val="28"/>
        </w:rPr>
        <w:t>万元、维修费</w:t>
      </w:r>
      <w:r>
        <w:rPr>
          <w:rFonts w:ascii="宋体" w:hAnsi="宋体" w:cs="宋体" w:hint="eastAsia"/>
          <w:color w:val="000000"/>
          <w:sz w:val="28"/>
          <w:szCs w:val="28"/>
        </w:rPr>
        <w:t>10.24</w:t>
      </w:r>
      <w:r>
        <w:rPr>
          <w:rFonts w:ascii="宋体" w:hAnsi="宋体" w:cs="宋体" w:hint="eastAsia"/>
          <w:color w:val="000000"/>
          <w:sz w:val="28"/>
          <w:szCs w:val="28"/>
        </w:rPr>
        <w:t>万元、</w:t>
      </w:r>
      <w:r>
        <w:rPr>
          <w:rFonts w:ascii="宋体" w:hAnsi="宋体" w:cs="宋体" w:hint="eastAsia"/>
          <w:color w:val="000000"/>
          <w:sz w:val="28"/>
          <w:szCs w:val="28"/>
        </w:rPr>
        <w:t>培训费</w:t>
      </w:r>
      <w:r>
        <w:rPr>
          <w:rFonts w:ascii="宋体" w:hAnsi="宋体" w:cs="宋体" w:hint="eastAsia"/>
          <w:color w:val="000000"/>
          <w:sz w:val="28"/>
          <w:szCs w:val="28"/>
        </w:rPr>
        <w:t>0.4</w:t>
      </w:r>
      <w:r>
        <w:rPr>
          <w:rFonts w:ascii="宋体" w:hAnsi="宋体" w:cs="宋体" w:hint="eastAsia"/>
          <w:color w:val="000000"/>
          <w:sz w:val="28"/>
          <w:szCs w:val="28"/>
        </w:rPr>
        <w:t>万元、</w:t>
      </w:r>
      <w:r>
        <w:rPr>
          <w:rFonts w:ascii="宋体" w:hAnsi="宋体" w:cs="宋体" w:hint="eastAsia"/>
          <w:color w:val="000000"/>
          <w:sz w:val="28"/>
          <w:szCs w:val="28"/>
        </w:rPr>
        <w:t>专用材料费</w:t>
      </w:r>
      <w:r>
        <w:rPr>
          <w:rFonts w:ascii="宋体" w:hAnsi="宋体" w:cs="宋体" w:hint="eastAsia"/>
          <w:color w:val="000000"/>
          <w:sz w:val="28"/>
          <w:szCs w:val="28"/>
        </w:rPr>
        <w:t>7</w:t>
      </w:r>
      <w:r>
        <w:rPr>
          <w:rFonts w:ascii="宋体" w:hAnsi="宋体" w:cs="宋体" w:hint="eastAsia"/>
          <w:color w:val="000000"/>
          <w:sz w:val="28"/>
          <w:szCs w:val="28"/>
        </w:rPr>
        <w:t>万元、劳务费</w:t>
      </w:r>
      <w:r>
        <w:rPr>
          <w:rFonts w:ascii="宋体" w:hAnsi="宋体" w:cs="宋体" w:hint="eastAsia"/>
          <w:color w:val="000000"/>
          <w:sz w:val="28"/>
          <w:szCs w:val="28"/>
        </w:rPr>
        <w:t>1.16</w:t>
      </w:r>
      <w:r>
        <w:rPr>
          <w:rFonts w:ascii="宋体" w:hAnsi="宋体" w:cs="宋体" w:hint="eastAsia"/>
          <w:color w:val="000000"/>
          <w:sz w:val="28"/>
          <w:szCs w:val="28"/>
        </w:rPr>
        <w:t>万元、办公设备购置费</w:t>
      </w:r>
      <w:r>
        <w:rPr>
          <w:rFonts w:ascii="宋体" w:hAnsi="宋体" w:cs="宋体" w:hint="eastAsia"/>
          <w:color w:val="000000"/>
          <w:sz w:val="28"/>
          <w:szCs w:val="28"/>
        </w:rPr>
        <w:t>1.23</w:t>
      </w:r>
      <w:r>
        <w:rPr>
          <w:rFonts w:ascii="宋体" w:hAnsi="宋体" w:cs="宋体" w:hint="eastAsia"/>
          <w:color w:val="000000"/>
          <w:sz w:val="28"/>
          <w:szCs w:val="28"/>
        </w:rPr>
        <w:t>万元、其他商品和服务支出</w:t>
      </w:r>
      <w:r>
        <w:rPr>
          <w:rFonts w:ascii="宋体" w:hAnsi="宋体" w:cs="宋体" w:hint="eastAsia"/>
          <w:color w:val="000000"/>
          <w:sz w:val="28"/>
          <w:szCs w:val="28"/>
        </w:rPr>
        <w:t>0.84</w:t>
      </w:r>
      <w:r>
        <w:rPr>
          <w:rFonts w:ascii="宋体" w:hAnsi="宋体" w:cs="宋体" w:hint="eastAsia"/>
          <w:color w:val="000000"/>
          <w:sz w:val="28"/>
          <w:szCs w:val="28"/>
        </w:rPr>
        <w:t>万元。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四、财政拨款“三公”经费预算情况及增减变化原因</w: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</w:p>
    <w:p w:rsidR="005D39C3" w:rsidRDefault="00D25F4F">
      <w:pPr>
        <w:adjustRightInd w:val="0"/>
        <w:snapToGrid w:val="0"/>
        <w:spacing w:line="560" w:lineRule="exact"/>
        <w:ind w:firstLine="6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年，财政拨款“三公”经费预算安排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万元，与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年相比无增减变化。其中：①因公出国（境）费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万元，与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年相比无增减变化；②公务用车购置及运行费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万元，其中：公务用车购置费为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万元，与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年相比无增减变化；公务用车运行费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万元，与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年相比无增减变化；③公务接待费</w:t>
      </w:r>
      <w:r>
        <w:rPr>
          <w:rFonts w:ascii="宋体" w:hAnsi="宋体" w:cs="宋体" w:hint="eastAsia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万元，与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年相比无增减变化。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五、绩效预算信息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第一部分</w:t>
      </w:r>
      <w:r>
        <w:rPr>
          <w:rFonts w:ascii="宋体" w:hAnsi="宋体" w:cs="宋体" w:hint="eastAsia"/>
          <w:b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sz w:val="28"/>
          <w:szCs w:val="28"/>
        </w:rPr>
        <w:t>单位</w:t>
      </w:r>
      <w:r>
        <w:rPr>
          <w:rFonts w:ascii="宋体" w:hAnsi="宋体" w:cs="宋体" w:hint="eastAsia"/>
          <w:b/>
          <w:sz w:val="28"/>
          <w:szCs w:val="28"/>
        </w:rPr>
        <w:t>整体绩效目标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（一）总体绩效目标：坚持“打造品牌教育，建设教育强区”的发展战略，不断改善办学条件、着力提升教育质量。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（二）分项绩效目标：普及学前三年教育，扩大学前教育资源，缓解当前存在的“入园难”、“入园贵”问题。改善办园条件，落实学前教育资助制度。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（三）工作保障措施：制定年度工作计划，强化预算执行。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第二部分</w:t>
      </w:r>
      <w:r>
        <w:rPr>
          <w:rFonts w:ascii="宋体" w:hAnsi="宋体" w:cs="宋体" w:hint="eastAsia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专项资金绩效目标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2021</w:t>
      </w:r>
      <w:r>
        <w:rPr>
          <w:rFonts w:ascii="宋体" w:hAnsi="宋体" w:cs="宋体" w:hint="eastAsia"/>
          <w:sz w:val="28"/>
          <w:szCs w:val="28"/>
        </w:rPr>
        <w:t>年我单位无专项资金绩效目标。</w:t>
      </w:r>
    </w:p>
    <w:p w:rsidR="005D39C3" w:rsidRPr="00F33CBA" w:rsidRDefault="00D25F4F" w:rsidP="00F33CBA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预算项目绩效目标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方正仿宋_GBK" w:eastAsia="方正仿宋_GBK"/>
          <w:b/>
          <w:sz w:val="28"/>
          <w:szCs w:val="22"/>
        </w:rPr>
      </w:pPr>
      <w:r>
        <w:rPr>
          <w:rFonts w:ascii="方正仿宋_GBK" w:eastAsia="方正仿宋_GBK" w:hint="eastAsia"/>
          <w:b/>
          <w:sz w:val="28"/>
          <w:szCs w:val="22"/>
        </w:rPr>
        <w:t>1</w:t>
      </w:r>
      <w:r>
        <w:rPr>
          <w:rFonts w:ascii="方正仿宋_GBK" w:eastAsia="方正仿宋_GBK" w:hint="eastAsia"/>
          <w:b/>
          <w:sz w:val="28"/>
          <w:szCs w:val="22"/>
        </w:rPr>
        <w:t>、劳务派遣人员工资及保险</w:t>
      </w:r>
      <w:r>
        <w:rPr>
          <w:rFonts w:ascii="方正仿宋_GBK" w:eastAsia="方正仿宋_GBK" w:hint="eastAsia"/>
          <w:b/>
          <w:sz w:val="28"/>
          <w:szCs w:val="22"/>
        </w:rPr>
        <w:t>(</w:t>
      </w:r>
      <w:r>
        <w:rPr>
          <w:rFonts w:ascii="方正仿宋_GBK" w:eastAsia="方正仿宋_GBK" w:hint="eastAsia"/>
          <w:b/>
          <w:sz w:val="28"/>
          <w:szCs w:val="22"/>
        </w:rPr>
        <w:t>劳务费</w:t>
      </w:r>
      <w:r>
        <w:rPr>
          <w:rFonts w:ascii="方正仿宋_GBK" w:eastAsia="方正仿宋_GBK" w:hint="eastAsia"/>
          <w:b/>
          <w:sz w:val="28"/>
          <w:szCs w:val="22"/>
        </w:rPr>
        <w:t>)</w:t>
      </w:r>
      <w:r>
        <w:rPr>
          <w:rFonts w:ascii="方正仿宋_GBK" w:eastAsia="方正仿宋_GBK" w:hint="eastAsia"/>
          <w:b/>
          <w:sz w:val="28"/>
          <w:szCs w:val="22"/>
        </w:rPr>
        <w:t>绩效目标表</w:t>
      </w:r>
      <w:r>
        <w:fldChar w:fldCharType="begin"/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 w:hint="eastAsia"/>
          <w:b/>
          <w:sz w:val="28"/>
          <w:szCs w:val="22"/>
        </w:rPr>
        <w:instrText xml:space="preserve">TC </w:instrText>
      </w:r>
      <w:bookmarkStart w:id="0" w:name="_Toc31823191"/>
      <w:r>
        <w:rPr>
          <w:rFonts w:ascii="方正仿宋_GBK" w:eastAsia="方正仿宋_GBK" w:hint="eastAsia"/>
          <w:b/>
          <w:sz w:val="28"/>
          <w:szCs w:val="22"/>
        </w:rPr>
        <w:instrText>135</w:instrText>
      </w:r>
      <w:r>
        <w:rPr>
          <w:rFonts w:ascii="方正仿宋_GBK" w:eastAsia="方正仿宋_GBK" w:hint="eastAsia"/>
          <w:b/>
          <w:sz w:val="28"/>
          <w:szCs w:val="22"/>
        </w:rPr>
        <w:instrText>、劳务派遣人员工资及保险</w:instrText>
      </w:r>
      <w:r>
        <w:rPr>
          <w:rFonts w:ascii="方正仿宋_GBK" w:eastAsia="方正仿宋_GBK" w:hint="eastAsia"/>
          <w:b/>
          <w:sz w:val="28"/>
          <w:szCs w:val="22"/>
        </w:rPr>
        <w:instrText>(</w:instrText>
      </w:r>
      <w:r>
        <w:rPr>
          <w:rFonts w:ascii="方正仿宋_GBK" w:eastAsia="方正仿宋_GBK" w:hint="eastAsia"/>
          <w:b/>
          <w:sz w:val="28"/>
          <w:szCs w:val="22"/>
        </w:rPr>
        <w:instrText>劳务费</w:instrText>
      </w:r>
      <w:r>
        <w:rPr>
          <w:rFonts w:ascii="方正仿宋_GBK" w:eastAsia="方正仿宋_GBK" w:hint="eastAsia"/>
          <w:b/>
          <w:sz w:val="28"/>
          <w:szCs w:val="22"/>
        </w:rPr>
        <w:instrText>)</w:instrText>
      </w:r>
      <w:r>
        <w:rPr>
          <w:rFonts w:ascii="方正仿宋_GBK" w:eastAsia="方正仿宋_GBK" w:hint="eastAsia"/>
          <w:b/>
          <w:sz w:val="28"/>
          <w:szCs w:val="22"/>
        </w:rPr>
        <w:instrText>绩效目标表</w:instrText>
      </w:r>
      <w:bookmarkEnd w:id="0"/>
      <w:r>
        <w:rPr>
          <w:rFonts w:ascii="方正仿宋_GBK" w:eastAsia="方正仿宋_GBK" w:hint="eastAsia"/>
          <w:b/>
          <w:sz w:val="28"/>
          <w:szCs w:val="22"/>
        </w:rPr>
        <w:instrText xml:space="preserve"> \f C \l 1</w:instrText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/>
          <w:b/>
          <w:sz w:val="28"/>
          <w:szCs w:val="22"/>
        </w:rPr>
        <w:fldChar w:fldCharType="end"/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5D39C3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40115</w:t>
            </w:r>
            <w:r>
              <w:rPr>
                <w:rFonts w:ascii="方正书宋_GBK" w:eastAsia="方正书宋_GBK" w:hint="eastAsia"/>
                <w:b/>
              </w:rPr>
              <w:t>4</w:t>
            </w:r>
            <w:r>
              <w:rPr>
                <w:rFonts w:ascii="方正书宋_GBK" w:eastAsia="方正书宋_GBK" w:hint="eastAsia"/>
                <w:b/>
              </w:rPr>
              <w:t>唐山市丰南区王兰庄镇</w:t>
            </w:r>
            <w:r>
              <w:rPr>
                <w:rFonts w:ascii="方正书宋_GBK" w:eastAsia="方正书宋_GBK" w:hint="eastAsia"/>
                <w:b/>
              </w:rPr>
              <w:t>横沽</w:t>
            </w:r>
            <w:r>
              <w:rPr>
                <w:rFonts w:ascii="方正书宋_GBK" w:eastAsia="方正书宋_GBK" w:hint="eastAsia"/>
                <w:b/>
              </w:rPr>
              <w:t>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D39C3" w:rsidRDefault="005D39C3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5D39C3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</w:t>
            </w:r>
            <w:r>
              <w:rPr>
                <w:rFonts w:ascii="方正书宋_GBK" w:eastAsia="方正书宋_GBK" w:hint="eastAsia"/>
              </w:rPr>
              <w:t>及时发放人员待遇，维护社会稳定。</w:t>
            </w:r>
          </w:p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</w:t>
            </w:r>
            <w:r>
              <w:rPr>
                <w:rFonts w:ascii="方正书宋_GBK" w:eastAsia="方正书宋_GBK" w:hint="eastAsia"/>
              </w:rPr>
              <w:t>改善职工生活水平。</w:t>
            </w:r>
          </w:p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</w:t>
            </w:r>
            <w:r>
              <w:rPr>
                <w:rFonts w:ascii="方正书宋_GBK" w:eastAsia="方正书宋_GBK" w:hint="eastAsia"/>
              </w:rPr>
              <w:t>调动职工工作积极性</w:t>
            </w:r>
          </w:p>
        </w:tc>
      </w:tr>
    </w:tbl>
    <w:p w:rsidR="005D39C3" w:rsidRDefault="00D25F4F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5D39C3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劳务派遣人员数量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聘用的劳务派遣人数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</w:t>
            </w:r>
            <w:r>
              <w:rPr>
                <w:rFonts w:ascii="方正书宋_GBK" w:eastAsia="方正书宋_GBK" w:hint="eastAsia"/>
              </w:rPr>
              <w:t>1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工资发放准确率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工资发放准确程度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100%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工资发放情况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劳务派遣人员月最低工资标准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执行的劳务派遣人员月工资标准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1900</w:t>
            </w:r>
            <w:r>
              <w:rPr>
                <w:rFonts w:ascii="方正书宋_GBK" w:eastAsia="方正书宋_GBK" w:hint="eastAsia"/>
              </w:rPr>
              <w:t>元</w:t>
            </w:r>
            <w:r>
              <w:rPr>
                <w:rFonts w:ascii="方正书宋_GBK" w:eastAsia="方正书宋_GBK" w:hint="eastAsia"/>
              </w:rPr>
              <w:t>/</w:t>
            </w:r>
            <w:r>
              <w:rPr>
                <w:rFonts w:ascii="方正书宋_GBK" w:eastAsia="方正书宋_GBK" w:hint="eastAsia"/>
              </w:rPr>
              <w:t>月，人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安排就业人数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解决就业人数，缓解就业压力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</w:t>
            </w:r>
            <w:r>
              <w:rPr>
                <w:rFonts w:ascii="方正书宋_GBK" w:eastAsia="方正书宋_GBK" w:hint="eastAsia"/>
              </w:rPr>
              <w:t>1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实际劳务派遣人员情况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工资消费贡献率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50%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实际消费水平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保障事业发展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保障各项工作正常运转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维护教育稳定，促进教育发展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单位运转情况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劳务派遣人员满意度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劳务派遣人员对工资待遇的满意度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95%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>
      <w:pPr>
        <w:spacing w:line="300" w:lineRule="exact"/>
        <w:ind w:firstLineChars="200" w:firstLine="562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5D39C3" w:rsidP="00F33CBA">
      <w:pPr>
        <w:spacing w:line="300" w:lineRule="exact"/>
        <w:jc w:val="left"/>
        <w:rPr>
          <w:rFonts w:ascii="方正仿宋_GBK" w:eastAsia="方正仿宋_GBK" w:hint="eastAsia"/>
          <w:b/>
          <w:sz w:val="28"/>
          <w:szCs w:val="22"/>
        </w:rPr>
      </w:pPr>
    </w:p>
    <w:p w:rsidR="005D39C3" w:rsidRDefault="005D39C3">
      <w:pPr>
        <w:spacing w:line="300" w:lineRule="exact"/>
        <w:jc w:val="left"/>
        <w:rPr>
          <w:rFonts w:ascii="方正仿宋_GBK" w:eastAsia="方正仿宋_GBK"/>
          <w:b/>
          <w:sz w:val="28"/>
          <w:szCs w:val="22"/>
        </w:rPr>
      </w:pPr>
    </w:p>
    <w:p w:rsidR="005D39C3" w:rsidRDefault="00D25F4F">
      <w:pPr>
        <w:spacing w:line="300" w:lineRule="exact"/>
        <w:ind w:firstLineChars="200" w:firstLine="562"/>
        <w:jc w:val="left"/>
        <w:rPr>
          <w:rFonts w:ascii="Times New Roman" w:hAnsi="宋体"/>
          <w:b/>
          <w:sz w:val="28"/>
          <w:szCs w:val="22"/>
        </w:rPr>
      </w:pPr>
      <w:r>
        <w:rPr>
          <w:rFonts w:ascii="方正仿宋_GBK" w:eastAsia="方正仿宋_GBK" w:hint="eastAsia"/>
          <w:b/>
          <w:sz w:val="28"/>
          <w:szCs w:val="22"/>
        </w:rPr>
        <w:lastRenderedPageBreak/>
        <w:t>2</w:t>
      </w:r>
      <w:r>
        <w:rPr>
          <w:rFonts w:ascii="方正仿宋_GBK" w:eastAsia="方正仿宋_GBK" w:hint="eastAsia"/>
          <w:b/>
          <w:sz w:val="28"/>
          <w:szCs w:val="22"/>
        </w:rPr>
        <w:t>、学前教育生均资助经费绩效目标表</w:t>
      </w:r>
      <w:r>
        <w:fldChar w:fldCharType="begin"/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 w:hint="eastAsia"/>
          <w:b/>
          <w:sz w:val="28"/>
          <w:szCs w:val="22"/>
        </w:rPr>
        <w:instrText xml:space="preserve">TC </w:instrText>
      </w:r>
      <w:bookmarkStart w:id="1" w:name="_Toc31823193"/>
      <w:r>
        <w:rPr>
          <w:rFonts w:ascii="方正仿宋_GBK" w:eastAsia="方正仿宋_GBK" w:hint="eastAsia"/>
          <w:b/>
          <w:sz w:val="28"/>
          <w:szCs w:val="22"/>
        </w:rPr>
        <w:instrText>137</w:instrText>
      </w:r>
      <w:r>
        <w:rPr>
          <w:rFonts w:ascii="方正仿宋_GBK" w:eastAsia="方正仿宋_GBK" w:hint="eastAsia"/>
          <w:b/>
          <w:sz w:val="28"/>
          <w:szCs w:val="22"/>
        </w:rPr>
        <w:instrText>、学前教育生均资助经费绩效目标表</w:instrText>
      </w:r>
      <w:bookmarkEnd w:id="1"/>
      <w:r>
        <w:rPr>
          <w:rFonts w:ascii="方正仿宋_GBK" w:eastAsia="方正仿宋_GBK" w:hint="eastAsia"/>
          <w:b/>
          <w:sz w:val="28"/>
          <w:szCs w:val="22"/>
        </w:rPr>
        <w:instrText xml:space="preserve"> \f C \l 1</w:instrText>
      </w:r>
      <w:r>
        <w:rPr>
          <w:rFonts w:ascii="方正仿宋_GBK" w:eastAsia="方正仿宋_GBK"/>
          <w:b/>
          <w:sz w:val="28"/>
          <w:szCs w:val="22"/>
        </w:rPr>
        <w:instrText xml:space="preserve"> </w:instrText>
      </w:r>
      <w:r>
        <w:rPr>
          <w:rFonts w:ascii="方正仿宋_GBK" w:eastAsia="方正仿宋_GBK"/>
          <w:b/>
          <w:sz w:val="28"/>
          <w:szCs w:val="22"/>
        </w:rPr>
        <w:fldChar w:fldCharType="end"/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5D39C3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40115</w:t>
            </w:r>
            <w:r>
              <w:rPr>
                <w:rFonts w:ascii="方正书宋_GBK" w:eastAsia="方正书宋_GBK" w:hint="eastAsia"/>
                <w:b/>
              </w:rPr>
              <w:t>4</w:t>
            </w:r>
            <w:r>
              <w:rPr>
                <w:rFonts w:ascii="方正书宋_GBK" w:eastAsia="方正书宋_GBK" w:hint="eastAsia"/>
                <w:b/>
              </w:rPr>
              <w:t>唐山市丰南区王兰庄镇</w:t>
            </w:r>
            <w:r>
              <w:rPr>
                <w:rFonts w:ascii="方正书宋_GBK" w:eastAsia="方正书宋_GBK" w:hint="eastAsia"/>
                <w:b/>
              </w:rPr>
              <w:t>横沽</w:t>
            </w:r>
            <w:r>
              <w:rPr>
                <w:rFonts w:ascii="方正书宋_GBK" w:eastAsia="方正书宋_GBK" w:hint="eastAsia"/>
                <w:b/>
              </w:rPr>
              <w:t>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D39C3" w:rsidRDefault="005D39C3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5D39C3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</w:t>
            </w:r>
            <w:r>
              <w:rPr>
                <w:rFonts w:ascii="方正书宋_GBK" w:eastAsia="方正书宋_GBK" w:hint="eastAsia"/>
              </w:rPr>
              <w:t>保障学校日常工作的正常开展。</w:t>
            </w:r>
          </w:p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</w:t>
            </w:r>
            <w:r>
              <w:rPr>
                <w:rFonts w:ascii="方正书宋_GBK" w:eastAsia="方正书宋_GBK" w:hint="eastAsia"/>
              </w:rPr>
              <w:t>改善办学条件，促进教育事业发展。</w:t>
            </w:r>
          </w:p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</w:t>
            </w:r>
            <w:r>
              <w:rPr>
                <w:rFonts w:ascii="方正书宋_GBK" w:eastAsia="方正书宋_GBK" w:hint="eastAsia"/>
              </w:rPr>
              <w:t>保障校园安全，增强学生核心素养。</w:t>
            </w:r>
          </w:p>
        </w:tc>
      </w:tr>
    </w:tbl>
    <w:p w:rsidR="005D39C3" w:rsidRDefault="00D25F4F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5D39C3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在校学生数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在校学生人数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122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年度学生统计数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教育教学秩序井然，校园全无事故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年度工作计划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400</w:t>
            </w:r>
            <w:r>
              <w:rPr>
                <w:rFonts w:ascii="方正书宋_GBK" w:eastAsia="方正书宋_GBK" w:hint="eastAsia"/>
              </w:rPr>
              <w:t>生</w:t>
            </w:r>
            <w:r>
              <w:rPr>
                <w:rFonts w:ascii="方正书宋_GBK" w:eastAsia="方正书宋_GBK" w:hint="eastAsia"/>
              </w:rPr>
              <w:t>/</w:t>
            </w:r>
            <w:r>
              <w:rPr>
                <w:rFonts w:ascii="方正书宋_GBK" w:eastAsia="方正书宋_GBK" w:hint="eastAsia"/>
              </w:rPr>
              <w:t>年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国家政策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校园环境不断改善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学生德智体全面发展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5D39C3" w:rsidRDefault="005D39C3"/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教育质量不断提高，办学水平不断改善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D39C3">
        <w:trPr>
          <w:cantSplit/>
          <w:trHeight w:val="369"/>
          <w:jc w:val="center"/>
        </w:trPr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社会公众满意度（</w:t>
            </w:r>
            <w:r>
              <w:rPr>
                <w:rFonts w:ascii="方正书宋_GBK" w:eastAsia="方正书宋_GBK" w:hint="eastAsia"/>
              </w:rPr>
              <w:t>%</w:t>
            </w:r>
            <w:r>
              <w:rPr>
                <w:rFonts w:ascii="方正书宋_GBK" w:eastAsia="方正书宋_GBK" w:hint="eastAsia"/>
              </w:rPr>
              <w:t>）</w:t>
            </w:r>
          </w:p>
        </w:tc>
        <w:tc>
          <w:tcPr>
            <w:tcW w:w="289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反映较好人数与受调查人数之比</w:t>
            </w:r>
          </w:p>
        </w:tc>
        <w:tc>
          <w:tcPr>
            <w:tcW w:w="1276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90%</w:t>
            </w:r>
          </w:p>
        </w:tc>
        <w:tc>
          <w:tcPr>
            <w:tcW w:w="1701" w:type="dxa"/>
            <w:vAlign w:val="center"/>
          </w:tcPr>
          <w:p w:rsidR="005D39C3" w:rsidRDefault="00D25F4F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5D39C3" w:rsidRDefault="005D39C3">
      <w:pPr>
        <w:spacing w:line="300" w:lineRule="exact"/>
        <w:jc w:val="left"/>
        <w:rPr>
          <w:szCs w:val="22"/>
        </w:rPr>
        <w:sectPr w:rsidR="005D39C3">
          <w:pgSz w:w="11907" w:h="16839"/>
          <w:pgMar w:top="1984" w:right="1304" w:bottom="567" w:left="1304" w:header="851" w:footer="992" w:gutter="0"/>
          <w:cols w:space="720"/>
          <w:docGrid w:type="lines" w:linePitch="312"/>
        </w:sectPr>
      </w:pP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lastRenderedPageBreak/>
        <w:t>六、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政府采购预算情况</w:t>
      </w:r>
    </w:p>
    <w:p w:rsidR="005D39C3" w:rsidRDefault="00D25F4F">
      <w:pPr>
        <w:snapToGrid w:val="0"/>
        <w:spacing w:line="360" w:lineRule="auto"/>
        <w:ind w:firstLineChars="400" w:firstLine="1120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2" w:name="_GoBack"/>
      <w:r>
        <w:rPr>
          <w:rFonts w:ascii="宋体" w:hAnsi="宋体" w:cs="宋体" w:hint="eastAsia"/>
          <w:sz w:val="28"/>
          <w:szCs w:val="28"/>
        </w:rPr>
        <w:t>202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年此项目无数据</w:t>
      </w:r>
      <w:r>
        <w:rPr>
          <w:rFonts w:ascii="宋体" w:hAnsi="宋体" w:cs="宋体" w:hint="eastAsia"/>
          <w:sz w:val="28"/>
          <w:szCs w:val="28"/>
        </w:rPr>
        <w:t>。</w:t>
      </w:r>
    </w:p>
    <w:bookmarkEnd w:id="2"/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七、国有资产信息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我单位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年底固定资产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500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.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24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万元，其中房屋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1913.1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平方米，总价值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426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.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 xml:space="preserve">45 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万元；其他固定资产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73.79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万元。</w:t>
      </w:r>
    </w:p>
    <w:p w:rsidR="005D39C3" w:rsidRDefault="00D25F4F">
      <w:pPr>
        <w:adjustRightInd w:val="0"/>
        <w:snapToGrid w:val="0"/>
        <w:spacing w:line="560" w:lineRule="exact"/>
        <w:ind w:firstLineChars="200" w:firstLine="562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单位</w:t>
      </w:r>
      <w:r>
        <w:rPr>
          <w:rFonts w:ascii="宋体" w:hAnsi="宋体" w:cs="宋体" w:hint="eastAsia"/>
          <w:b/>
          <w:color w:val="000000"/>
          <w:sz w:val="28"/>
          <w:szCs w:val="28"/>
        </w:rPr>
        <w:t>固定资产占用情况表</w:t>
      </w:r>
    </w:p>
    <w:p w:rsidR="005D39C3" w:rsidRDefault="00D25F4F">
      <w:pPr>
        <w:adjustRightInd w:val="0"/>
        <w:snapToGrid w:val="0"/>
        <w:spacing w:line="560" w:lineRule="exac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编制</w:t>
      </w:r>
      <w:r>
        <w:rPr>
          <w:rFonts w:ascii="宋体" w:hAnsi="宋体" w:cs="宋体" w:hint="eastAsia"/>
          <w:color w:val="000000"/>
          <w:sz w:val="28"/>
          <w:szCs w:val="28"/>
        </w:rPr>
        <w:t>单位</w:t>
      </w:r>
      <w:r>
        <w:rPr>
          <w:rFonts w:ascii="宋体" w:hAnsi="宋体" w:cs="宋体" w:hint="eastAsia"/>
          <w:color w:val="000000"/>
          <w:sz w:val="28"/>
          <w:szCs w:val="28"/>
        </w:rPr>
        <w:t>：</w:t>
      </w:r>
      <w:r>
        <w:rPr>
          <w:rFonts w:ascii="宋体" w:hAnsi="宋体" w:cs="宋体" w:hint="eastAsia"/>
          <w:color w:val="000000"/>
          <w:sz w:val="28"/>
          <w:szCs w:val="28"/>
        </w:rPr>
        <w:t>横沽</w:t>
      </w:r>
      <w:r>
        <w:rPr>
          <w:rFonts w:ascii="宋体" w:hAnsi="宋体" w:cs="宋体" w:hint="eastAsia"/>
          <w:color w:val="000000"/>
          <w:sz w:val="28"/>
          <w:szCs w:val="28"/>
        </w:rPr>
        <w:t>幼儿园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      </w:t>
      </w:r>
      <w:r>
        <w:rPr>
          <w:rFonts w:ascii="宋体" w:hAnsi="宋体" w:cs="宋体" w:hint="eastAsia"/>
          <w:color w:val="000000"/>
          <w:sz w:val="28"/>
          <w:szCs w:val="28"/>
        </w:rPr>
        <w:t>截止时间：</w:t>
      </w:r>
      <w:r>
        <w:rPr>
          <w:rFonts w:ascii="宋体" w:hAnsi="宋体" w:cs="宋体" w:hint="eastAsia"/>
          <w:color w:val="00000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sz w:val="28"/>
          <w:szCs w:val="28"/>
        </w:rPr>
        <w:t>年</w:t>
      </w:r>
      <w:r>
        <w:rPr>
          <w:rFonts w:ascii="宋体" w:hAnsi="宋体" w:cs="宋体" w:hint="eastAsia"/>
          <w:color w:val="000000"/>
          <w:sz w:val="28"/>
          <w:szCs w:val="28"/>
        </w:rPr>
        <w:t>12</w:t>
      </w:r>
      <w:r>
        <w:rPr>
          <w:rFonts w:ascii="宋体" w:hAnsi="宋体" w:cs="宋体" w:hint="eastAsia"/>
          <w:color w:val="000000"/>
          <w:sz w:val="28"/>
          <w:szCs w:val="28"/>
        </w:rPr>
        <w:t>月</w:t>
      </w:r>
      <w:r>
        <w:rPr>
          <w:rFonts w:ascii="宋体" w:hAnsi="宋体" w:cs="宋体" w:hint="eastAsia"/>
          <w:color w:val="000000"/>
          <w:sz w:val="28"/>
          <w:szCs w:val="28"/>
        </w:rPr>
        <w:t>31</w:t>
      </w:r>
      <w:r>
        <w:rPr>
          <w:rFonts w:ascii="宋体" w:hAnsi="宋体" w:cs="宋体" w:hint="eastAsia"/>
          <w:color w:val="000000"/>
          <w:sz w:val="28"/>
          <w:szCs w:val="28"/>
        </w:rPr>
        <w:t>日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417"/>
        <w:gridCol w:w="3119"/>
      </w:tblGrid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1417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119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价值（单位：万元）</w:t>
            </w: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1417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500.24</w:t>
            </w: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、房屋（平方米）</w:t>
            </w:r>
          </w:p>
        </w:tc>
        <w:tc>
          <w:tcPr>
            <w:tcW w:w="1417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1913.1</w:t>
            </w:r>
          </w:p>
        </w:tc>
        <w:tc>
          <w:tcPr>
            <w:tcW w:w="3119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426.45</w:t>
            </w: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1417" w:type="dxa"/>
          </w:tcPr>
          <w:p w:rsidR="005D39C3" w:rsidRDefault="005D39C3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5D39C3" w:rsidRDefault="005D39C3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、车辆（台、辆）</w:t>
            </w:r>
          </w:p>
        </w:tc>
        <w:tc>
          <w:tcPr>
            <w:tcW w:w="1417" w:type="dxa"/>
          </w:tcPr>
          <w:p w:rsidR="005D39C3" w:rsidRDefault="005D39C3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5D39C3" w:rsidRDefault="005D39C3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、单价在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万元以上设备</w:t>
            </w:r>
          </w:p>
        </w:tc>
        <w:tc>
          <w:tcPr>
            <w:tcW w:w="1417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119" w:type="dxa"/>
          </w:tcPr>
          <w:p w:rsidR="005D39C3" w:rsidRDefault="005D39C3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D39C3">
        <w:trPr>
          <w:trHeight w:val="180"/>
        </w:trPr>
        <w:tc>
          <w:tcPr>
            <w:tcW w:w="4112" w:type="dxa"/>
          </w:tcPr>
          <w:p w:rsidR="005D39C3" w:rsidRDefault="00D25F4F">
            <w:pPr>
              <w:adjustRightInd w:val="0"/>
              <w:snapToGrid w:val="0"/>
              <w:spacing w:line="56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、其他固定资产</w:t>
            </w:r>
          </w:p>
        </w:tc>
        <w:tc>
          <w:tcPr>
            <w:tcW w:w="1417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5D39C3" w:rsidRDefault="00D25F4F">
            <w:pPr>
              <w:adjustRightInd w:val="0"/>
              <w:snapToGrid w:val="0"/>
              <w:spacing w:line="560" w:lineRule="exact"/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73.79</w:t>
            </w:r>
          </w:p>
        </w:tc>
      </w:tr>
    </w:tbl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年我单位拟购置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掌上电脑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等设备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1.23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万元。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八、名词解释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基本支出：为保障机构正常运转，完成日常工作任务，而发生的人员支出和公用支出。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项目支出：为完成特定行政任务和事业发展目标而发生的费用。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 xml:space="preserve">    </w:t>
      </w:r>
    </w:p>
    <w:p w:rsidR="005D39C3" w:rsidRDefault="00D25F4F">
      <w:pPr>
        <w:snapToGrid w:val="0"/>
        <w:spacing w:line="360" w:lineRule="auto"/>
        <w:ind w:firstLineChars="200" w:firstLine="562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九、其他情况说明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单位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预算政府性基金预算财政拨款支出表，此表无数据，因本单位不涉及政府性基金，因此无数据；</w:t>
      </w:r>
    </w:p>
    <w:p w:rsidR="005D39C3" w:rsidRDefault="00D25F4F">
      <w:pPr>
        <w:snapToGrid w:val="0"/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Cs/>
          <w:color w:val="000000"/>
          <w:sz w:val="28"/>
          <w:szCs w:val="28"/>
        </w:rPr>
        <w:t>单位</w:t>
      </w:r>
      <w:r>
        <w:rPr>
          <w:rFonts w:ascii="宋体" w:hAnsi="宋体" w:cs="宋体" w:hint="eastAsia"/>
          <w:bCs/>
          <w:color w:val="000000"/>
          <w:sz w:val="28"/>
          <w:szCs w:val="28"/>
        </w:rPr>
        <w:t>预算国有资本经营预算财政拨款支出表，此表无数据，因本单位不涉及国有资本经营，因此无数据。</w:t>
      </w:r>
    </w:p>
    <w:sectPr w:rsidR="005D39C3">
      <w:headerReference w:type="default" r:id="rId8"/>
      <w:footerReference w:type="default" r:id="rId9"/>
      <w:pgSz w:w="11906" w:h="16838"/>
      <w:pgMar w:top="1984" w:right="1803" w:bottom="1134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F4F" w:rsidRDefault="00D25F4F">
      <w:r>
        <w:separator/>
      </w:r>
    </w:p>
  </w:endnote>
  <w:endnote w:type="continuationSeparator" w:id="0">
    <w:p w:rsidR="00D25F4F" w:rsidRDefault="00D25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方正书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C3" w:rsidRDefault="00D25F4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D39C3" w:rsidRDefault="00D25F4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33CBA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5D39C3" w:rsidRDefault="00D25F4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33CBA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F4F" w:rsidRDefault="00D25F4F">
      <w:r>
        <w:separator/>
      </w:r>
    </w:p>
  </w:footnote>
  <w:footnote w:type="continuationSeparator" w:id="0">
    <w:p w:rsidR="00D25F4F" w:rsidRDefault="00D25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9C3" w:rsidRDefault="005D39C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F82C"/>
    <w:multiLevelType w:val="singleLevel"/>
    <w:tmpl w:val="1020F82C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defaultTabStop w:val="420"/>
  <w:drawingGridVerticalSpacing w:val="156"/>
  <w:noPunctuationKerning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B1D2B"/>
    <w:rsid w:val="005D39C3"/>
    <w:rsid w:val="00D25F4F"/>
    <w:rsid w:val="00F33CBA"/>
    <w:rsid w:val="02446E7A"/>
    <w:rsid w:val="03884B8E"/>
    <w:rsid w:val="054F52B5"/>
    <w:rsid w:val="080B1D2B"/>
    <w:rsid w:val="094636C5"/>
    <w:rsid w:val="0CFA1B76"/>
    <w:rsid w:val="0D4159D6"/>
    <w:rsid w:val="0E7B3912"/>
    <w:rsid w:val="0F063056"/>
    <w:rsid w:val="0F126B62"/>
    <w:rsid w:val="0FBF1693"/>
    <w:rsid w:val="10EF1C2B"/>
    <w:rsid w:val="14DC4BBA"/>
    <w:rsid w:val="16C635F6"/>
    <w:rsid w:val="190D2137"/>
    <w:rsid w:val="19112E5B"/>
    <w:rsid w:val="1A567DE2"/>
    <w:rsid w:val="1CC06DFB"/>
    <w:rsid w:val="1E6E5CAC"/>
    <w:rsid w:val="1FB74BE3"/>
    <w:rsid w:val="1FFF7F82"/>
    <w:rsid w:val="200053F5"/>
    <w:rsid w:val="208E248A"/>
    <w:rsid w:val="214D2952"/>
    <w:rsid w:val="240A0E62"/>
    <w:rsid w:val="24D8596B"/>
    <w:rsid w:val="25BF010B"/>
    <w:rsid w:val="2C54585E"/>
    <w:rsid w:val="2DEC33F3"/>
    <w:rsid w:val="317D07C8"/>
    <w:rsid w:val="318E699E"/>
    <w:rsid w:val="35A535B1"/>
    <w:rsid w:val="361E01E1"/>
    <w:rsid w:val="378878C7"/>
    <w:rsid w:val="37B548CD"/>
    <w:rsid w:val="385E1FD6"/>
    <w:rsid w:val="3BCF1C79"/>
    <w:rsid w:val="3C2C18D6"/>
    <w:rsid w:val="3DA627A6"/>
    <w:rsid w:val="3ECD7D8C"/>
    <w:rsid w:val="40246EC1"/>
    <w:rsid w:val="46326613"/>
    <w:rsid w:val="46BA5282"/>
    <w:rsid w:val="474B00F7"/>
    <w:rsid w:val="48093E6D"/>
    <w:rsid w:val="4882080E"/>
    <w:rsid w:val="4F19041A"/>
    <w:rsid w:val="4F2874DD"/>
    <w:rsid w:val="51E34120"/>
    <w:rsid w:val="52286017"/>
    <w:rsid w:val="53446ADA"/>
    <w:rsid w:val="54656E8A"/>
    <w:rsid w:val="5AB776E6"/>
    <w:rsid w:val="614C76A5"/>
    <w:rsid w:val="616714F2"/>
    <w:rsid w:val="660A3C35"/>
    <w:rsid w:val="67862BDD"/>
    <w:rsid w:val="696C2928"/>
    <w:rsid w:val="6AC33C16"/>
    <w:rsid w:val="6BCA253A"/>
    <w:rsid w:val="6F8C6AD5"/>
    <w:rsid w:val="71CF2E2B"/>
    <w:rsid w:val="721E3811"/>
    <w:rsid w:val="732D45F2"/>
    <w:rsid w:val="765A2EEE"/>
    <w:rsid w:val="78F8123F"/>
    <w:rsid w:val="7BD84EB5"/>
    <w:rsid w:val="7F65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88B0F0"/>
  <w15:docId w15:val="{99E64215-9DD8-44B3-A8F2-B9546FA2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Times New Roman" w:hAnsi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Jelly%</dc:creator>
  <cp:lastModifiedBy>Administrator</cp:lastModifiedBy>
  <cp:revision>3</cp:revision>
  <dcterms:created xsi:type="dcterms:W3CDTF">2021-03-17T01:16:00Z</dcterms:created>
  <dcterms:modified xsi:type="dcterms:W3CDTF">2021-03-29T02:12:00Z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7251F9E370C9477087CC8156CD234ECA</vt:lpwstr>
  </property>
</Properties>
</file>