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baseline"/>
        <w:rPr>
          <w:rStyle w:val="6"/>
          <w:rFonts w:ascii="仿宋" w:hAnsi="仿宋" w:eastAsia="仿宋" w:cs="仿宋"/>
          <w:b/>
          <w:bCs/>
          <w:kern w:val="2"/>
          <w:sz w:val="44"/>
          <w:szCs w:val="44"/>
          <w:lang w:val="en-US" w:eastAsia="zh-CN" w:bidi="ar-SA"/>
        </w:rPr>
      </w:pPr>
    </w:p>
    <w:p>
      <w:pPr>
        <w:jc w:val="center"/>
        <w:textAlignment w:val="baseline"/>
        <w:rPr>
          <w:rStyle w:val="6"/>
          <w:rFonts w:ascii="仿宋" w:hAnsi="仿宋" w:eastAsia="仿宋" w:cs="仿宋"/>
          <w:b/>
          <w:bCs/>
          <w:kern w:val="2"/>
          <w:sz w:val="44"/>
          <w:szCs w:val="44"/>
          <w:lang w:val="en-US" w:eastAsia="zh-CN" w:bidi="ar-SA"/>
        </w:rPr>
      </w:pPr>
    </w:p>
    <w:p>
      <w:pPr>
        <w:jc w:val="center"/>
        <w:textAlignment w:val="baseline"/>
        <w:rPr>
          <w:rStyle w:val="6"/>
          <w:rFonts w:ascii="宋体" w:hAnsi="宋体" w:cs="仿宋"/>
          <w:b/>
          <w:bCs/>
          <w:kern w:val="2"/>
          <w:sz w:val="44"/>
          <w:szCs w:val="44"/>
          <w:lang w:val="en-US" w:eastAsia="zh-CN" w:bidi="ar-SA"/>
        </w:rPr>
      </w:pPr>
    </w:p>
    <w:p>
      <w:pPr>
        <w:jc w:val="center"/>
        <w:textAlignment w:val="baseline"/>
        <w:rPr>
          <w:rStyle w:val="6"/>
          <w:rFonts w:ascii="仿宋" w:hAnsi="仿宋" w:eastAsia="仿宋" w:cs="仿宋"/>
          <w:b/>
          <w:bCs/>
          <w:kern w:val="2"/>
          <w:sz w:val="44"/>
          <w:szCs w:val="44"/>
          <w:lang w:val="en-US" w:eastAsia="zh-CN" w:bidi="ar-SA"/>
        </w:rPr>
      </w:pPr>
      <w:r>
        <w:rPr>
          <w:rStyle w:val="6"/>
          <w:rFonts w:ascii="仿宋" w:hAnsi="仿宋" w:eastAsia="仿宋" w:cs="仿宋"/>
          <w:b/>
          <w:bCs/>
          <w:kern w:val="2"/>
          <w:sz w:val="44"/>
          <w:szCs w:val="44"/>
          <w:lang w:val="en-US" w:eastAsia="zh-CN" w:bidi="ar-SA"/>
        </w:rPr>
        <w:t>唐山市丰南区大新庄镇寺坨小学202</w:t>
      </w:r>
      <w:r>
        <w:rPr>
          <w:rStyle w:val="6"/>
          <w:rFonts w:hint="eastAsia" w:ascii="仿宋" w:hAnsi="仿宋" w:eastAsia="仿宋" w:cs="仿宋"/>
          <w:b/>
          <w:bCs/>
          <w:kern w:val="2"/>
          <w:sz w:val="44"/>
          <w:szCs w:val="44"/>
          <w:lang w:val="en-US" w:eastAsia="zh-CN" w:bidi="ar-SA"/>
        </w:rPr>
        <w:t>1</w:t>
      </w:r>
      <w:r>
        <w:rPr>
          <w:rStyle w:val="6"/>
          <w:rFonts w:ascii="仿宋" w:hAnsi="仿宋" w:eastAsia="仿宋" w:cs="仿宋"/>
          <w:b/>
          <w:bCs/>
          <w:kern w:val="2"/>
          <w:sz w:val="44"/>
          <w:szCs w:val="44"/>
          <w:lang w:val="en-US" w:eastAsia="zh-CN" w:bidi="ar-SA"/>
        </w:rPr>
        <w:t>年单位预算</w:t>
      </w: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jc w:val="both"/>
        <w:textAlignment w:val="baseline"/>
        <w:rPr>
          <w:rStyle w:val="6"/>
          <w:rFonts w:ascii="宋体" w:hAnsi="宋体" w:cs="仿宋"/>
          <w:bCs/>
          <w:kern w:val="2"/>
          <w:sz w:val="32"/>
          <w:szCs w:val="32"/>
          <w:lang w:val="en-US" w:eastAsia="zh-CN" w:bidi="ar-SA"/>
        </w:rPr>
      </w:pPr>
    </w:p>
    <w:p>
      <w:pPr>
        <w:ind w:firstLine="5783" w:firstLineChars="1800"/>
        <w:jc w:val="both"/>
        <w:textAlignment w:val="baseline"/>
        <w:rPr>
          <w:rStyle w:val="6"/>
          <w:rFonts w:ascii="宋体" w:hAnsi="宋体" w:cs="仿宋"/>
          <w:b/>
          <w:bCs/>
          <w:kern w:val="2"/>
          <w:sz w:val="32"/>
          <w:szCs w:val="32"/>
          <w:lang w:val="en-US" w:eastAsia="zh-CN" w:bidi="ar-SA"/>
        </w:rPr>
      </w:pPr>
    </w:p>
    <w:p>
      <w:pPr>
        <w:ind w:firstLine="5783" w:firstLineChars="1800"/>
        <w:jc w:val="both"/>
        <w:textAlignment w:val="baseline"/>
        <w:rPr>
          <w:rStyle w:val="6"/>
          <w:rFonts w:ascii="宋体" w:hAnsi="宋体" w:cs="仿宋"/>
          <w:b/>
          <w:bCs/>
          <w:kern w:val="2"/>
          <w:sz w:val="32"/>
          <w:szCs w:val="32"/>
          <w:lang w:val="en-US" w:eastAsia="zh-CN" w:bidi="ar-SA"/>
        </w:rPr>
      </w:pPr>
    </w:p>
    <w:p>
      <w:pPr>
        <w:jc w:val="center"/>
        <w:textAlignment w:val="baseline"/>
        <w:rPr>
          <w:rStyle w:val="6"/>
          <w:rFonts w:ascii="宋体" w:hAnsi="宋体" w:cs="仿宋"/>
          <w:b/>
          <w:bCs/>
          <w:kern w:val="2"/>
          <w:sz w:val="32"/>
          <w:szCs w:val="32"/>
          <w:lang w:val="en-US" w:eastAsia="zh-CN" w:bidi="ar-SA"/>
        </w:rPr>
      </w:pPr>
    </w:p>
    <w:p>
      <w:pPr>
        <w:jc w:val="center"/>
        <w:textAlignment w:val="baseline"/>
        <w:rPr>
          <w:rStyle w:val="6"/>
          <w:rFonts w:ascii="宋体" w:hAnsi="宋体" w:cs="仿宋"/>
          <w:b/>
          <w:bCs/>
          <w:kern w:val="2"/>
          <w:sz w:val="32"/>
          <w:szCs w:val="32"/>
          <w:lang w:val="en-US" w:eastAsia="zh-CN" w:bidi="ar-SA"/>
        </w:rPr>
      </w:pPr>
    </w:p>
    <w:p>
      <w:pPr>
        <w:jc w:val="center"/>
        <w:textAlignment w:val="baseline"/>
        <w:rPr>
          <w:rStyle w:val="6"/>
          <w:rFonts w:ascii="宋体" w:hAnsi="宋体" w:cs="仿宋"/>
          <w:b/>
          <w:bCs/>
          <w:kern w:val="2"/>
          <w:sz w:val="32"/>
          <w:szCs w:val="32"/>
          <w:lang w:val="en-US" w:eastAsia="zh-CN" w:bidi="ar-SA"/>
        </w:rPr>
      </w:pPr>
      <w:r>
        <w:rPr>
          <w:rStyle w:val="6"/>
          <w:rFonts w:ascii="宋体" w:hAnsi="宋体" w:cs="仿宋"/>
          <w:b/>
          <w:bCs/>
          <w:kern w:val="2"/>
          <w:sz w:val="32"/>
          <w:szCs w:val="32"/>
          <w:lang w:val="en-US" w:eastAsia="zh-CN" w:bidi="ar-SA"/>
        </w:rPr>
        <w:t>202</w:t>
      </w:r>
      <w:r>
        <w:rPr>
          <w:rStyle w:val="6"/>
          <w:rFonts w:hint="eastAsia" w:ascii="宋体" w:hAnsi="宋体" w:cs="仿宋"/>
          <w:b/>
          <w:bCs/>
          <w:kern w:val="2"/>
          <w:sz w:val="32"/>
          <w:szCs w:val="32"/>
          <w:lang w:val="en-US" w:eastAsia="zh-CN" w:bidi="ar-SA"/>
        </w:rPr>
        <w:t>1</w:t>
      </w:r>
      <w:r>
        <w:rPr>
          <w:rStyle w:val="6"/>
          <w:rFonts w:ascii="宋体" w:hAnsi="宋体" w:cs="仿宋"/>
          <w:b/>
          <w:bCs/>
          <w:kern w:val="2"/>
          <w:sz w:val="32"/>
          <w:szCs w:val="32"/>
          <w:lang w:val="en-US" w:eastAsia="zh-CN" w:bidi="ar-SA"/>
        </w:rPr>
        <w:t>年</w:t>
      </w:r>
      <w:r>
        <w:rPr>
          <w:rStyle w:val="6"/>
          <w:rFonts w:hint="eastAsia" w:ascii="宋体" w:hAnsi="宋体" w:cs="仿宋"/>
          <w:b/>
          <w:bCs/>
          <w:kern w:val="2"/>
          <w:sz w:val="32"/>
          <w:szCs w:val="32"/>
          <w:lang w:val="en-US" w:eastAsia="zh-CN" w:bidi="ar-SA"/>
        </w:rPr>
        <w:t>3</w:t>
      </w:r>
      <w:r>
        <w:rPr>
          <w:rStyle w:val="6"/>
          <w:rFonts w:ascii="宋体" w:hAnsi="宋体" w:cs="仿宋"/>
          <w:b/>
          <w:bCs/>
          <w:kern w:val="2"/>
          <w:sz w:val="32"/>
          <w:szCs w:val="32"/>
          <w:lang w:val="en-US" w:eastAsia="zh-CN" w:bidi="ar-SA"/>
        </w:rPr>
        <w:t>月</w:t>
      </w:r>
    </w:p>
    <w:p>
      <w:pPr>
        <w:jc w:val="both"/>
        <w:textAlignment w:val="baseline"/>
        <w:rPr>
          <w:rStyle w:val="6"/>
          <w:rFonts w:ascii="仿宋_GB2312" w:hAnsi="Calibri" w:eastAsia="仿宋_GB2312" w:cs="Times New Roman"/>
          <w:bCs/>
          <w:kern w:val="2"/>
          <w:sz w:val="32"/>
          <w:szCs w:val="32"/>
          <w:lang w:val="en-US" w:eastAsia="zh-CN" w:bidi="ar-SA"/>
        </w:rPr>
      </w:pPr>
    </w:p>
    <w:p>
      <w:pPr>
        <w:jc w:val="both"/>
        <w:textAlignment w:val="baseline"/>
        <w:rPr>
          <w:rStyle w:val="6"/>
          <w:rFonts w:ascii="仿宋_GB2312" w:hAnsi="Calibri" w:eastAsia="仿宋_GB2312" w:cs="Times New Roman"/>
          <w:bCs/>
          <w:kern w:val="2"/>
          <w:sz w:val="32"/>
          <w:szCs w:val="32"/>
          <w:lang w:val="en-US" w:eastAsia="zh-CN" w:bidi="ar-SA"/>
        </w:rPr>
      </w:pPr>
    </w:p>
    <w:p>
      <w:pPr>
        <w:jc w:val="both"/>
        <w:textAlignment w:val="baseline"/>
        <w:rPr>
          <w:rStyle w:val="6"/>
          <w:rFonts w:ascii="仿宋_GB2312" w:hAnsi="Calibri" w:eastAsia="仿宋_GB2312" w:cs="Times New Roman"/>
          <w:bCs/>
          <w:kern w:val="2"/>
          <w:sz w:val="32"/>
          <w:szCs w:val="32"/>
          <w:lang w:val="en-US" w:eastAsia="zh-CN" w:bidi="ar-SA"/>
        </w:rPr>
      </w:pPr>
    </w:p>
    <w:p>
      <w:pPr>
        <w:jc w:val="center"/>
        <w:textAlignment w:val="baseline"/>
        <w:rPr>
          <w:rStyle w:val="6"/>
          <w:rFonts w:ascii="仿宋" w:hAnsi="仿宋" w:eastAsia="仿宋" w:cs="仿宋"/>
          <w:b/>
          <w:bCs/>
          <w:color w:val="000000"/>
          <w:kern w:val="2"/>
          <w:sz w:val="44"/>
          <w:szCs w:val="44"/>
          <w:lang w:val="en-US" w:eastAsia="zh-CN" w:bidi="ar-SA"/>
        </w:rPr>
      </w:pPr>
    </w:p>
    <w:p>
      <w:pPr>
        <w:jc w:val="center"/>
        <w:textAlignment w:val="baseline"/>
        <w:rPr>
          <w:rStyle w:val="6"/>
          <w:rFonts w:ascii="仿宋" w:hAnsi="仿宋" w:eastAsia="仿宋" w:cs="仿宋"/>
          <w:b/>
          <w:bCs/>
          <w:color w:val="000000"/>
          <w:kern w:val="2"/>
          <w:sz w:val="44"/>
          <w:szCs w:val="44"/>
          <w:lang w:val="en-US" w:eastAsia="zh-CN" w:bidi="ar-SA"/>
        </w:rPr>
      </w:pPr>
    </w:p>
    <w:p>
      <w:pPr>
        <w:jc w:val="center"/>
        <w:textAlignment w:val="baseline"/>
        <w:rPr>
          <w:rStyle w:val="6"/>
          <w:rFonts w:ascii="仿宋" w:hAnsi="仿宋" w:eastAsia="仿宋" w:cs="仿宋"/>
          <w:b/>
          <w:bCs/>
          <w:color w:val="000000"/>
          <w:kern w:val="2"/>
          <w:sz w:val="44"/>
          <w:szCs w:val="44"/>
          <w:lang w:val="en-US" w:eastAsia="zh-CN" w:bidi="ar-SA"/>
        </w:rPr>
      </w:pPr>
      <w:r>
        <w:rPr>
          <w:rStyle w:val="6"/>
          <w:rFonts w:ascii="仿宋" w:hAnsi="仿宋" w:eastAsia="仿宋" w:cs="仿宋"/>
          <w:b/>
          <w:bCs/>
          <w:color w:val="000000"/>
          <w:kern w:val="2"/>
          <w:sz w:val="44"/>
          <w:szCs w:val="44"/>
          <w:lang w:val="en-US" w:eastAsia="zh-CN" w:bidi="ar-SA"/>
        </w:rPr>
        <w:t>202</w:t>
      </w:r>
      <w:r>
        <w:rPr>
          <w:rStyle w:val="6"/>
          <w:rFonts w:hint="eastAsia" w:ascii="仿宋" w:hAnsi="仿宋" w:eastAsia="仿宋" w:cs="仿宋"/>
          <w:b/>
          <w:bCs/>
          <w:color w:val="000000"/>
          <w:kern w:val="2"/>
          <w:sz w:val="44"/>
          <w:szCs w:val="44"/>
          <w:lang w:val="en-US" w:eastAsia="zh-CN" w:bidi="ar-SA"/>
        </w:rPr>
        <w:t>1</w:t>
      </w:r>
      <w:r>
        <w:rPr>
          <w:rStyle w:val="6"/>
          <w:rFonts w:ascii="仿宋" w:hAnsi="仿宋" w:eastAsia="仿宋" w:cs="仿宋"/>
          <w:b/>
          <w:bCs/>
          <w:color w:val="000000"/>
          <w:kern w:val="2"/>
          <w:sz w:val="44"/>
          <w:szCs w:val="44"/>
          <w:lang w:val="en-US" w:eastAsia="zh-CN" w:bidi="ar-SA"/>
        </w:rPr>
        <w:t>年单位预算公开目录</w:t>
      </w:r>
    </w:p>
    <w:p>
      <w:pPr>
        <w:ind w:firstLine="643" w:firstLineChars="200"/>
        <w:jc w:val="center"/>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第一部分 202</w:t>
      </w:r>
      <w:r>
        <w:rPr>
          <w:rStyle w:val="6"/>
          <w:rFonts w:hint="eastAsia" w:ascii="仿宋" w:hAnsi="仿宋" w:eastAsia="仿宋" w:cs="仿宋"/>
          <w:b/>
          <w:bCs/>
          <w:color w:val="000000"/>
          <w:kern w:val="2"/>
          <w:sz w:val="32"/>
          <w:szCs w:val="32"/>
          <w:lang w:val="en-US" w:eastAsia="zh-CN" w:bidi="ar-SA"/>
        </w:rPr>
        <w:t>1</w:t>
      </w:r>
      <w:r>
        <w:rPr>
          <w:rStyle w:val="6"/>
          <w:rFonts w:ascii="仿宋" w:hAnsi="仿宋" w:eastAsia="仿宋" w:cs="仿宋"/>
          <w:b/>
          <w:bCs/>
          <w:color w:val="000000"/>
          <w:kern w:val="2"/>
          <w:sz w:val="32"/>
          <w:szCs w:val="32"/>
          <w:lang w:val="en-US" w:eastAsia="zh-CN" w:bidi="ar-SA"/>
        </w:rPr>
        <w:t>年单位预算公开有关事项的说明</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一、单位职责及机构设置情况</w:t>
      </w:r>
    </w:p>
    <w:p>
      <w:pPr>
        <w:tabs>
          <w:tab w:val="left" w:pos="4820"/>
        </w:tabs>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二、单位预算安排的总体情况</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三、机关（事业）运行经费安排情况</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四、财政拨款“三公”经费预算情况及增减变化原因</w:t>
      </w:r>
    </w:p>
    <w:p>
      <w:pPr>
        <w:ind w:firstLine="627" w:firstLineChars="196"/>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五、绩效预算信息</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六、政府采购预算信息</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七、国有资产信息</w:t>
      </w:r>
    </w:p>
    <w:p>
      <w:pPr>
        <w:ind w:firstLine="627" w:firstLineChars="196"/>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八、名词解释</w:t>
      </w:r>
    </w:p>
    <w:p>
      <w:pPr>
        <w:ind w:firstLine="640" w:firstLineChars="200"/>
        <w:jc w:val="left"/>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九、其他需要说明的事项</w:t>
      </w:r>
    </w:p>
    <w:p>
      <w:pPr>
        <w:ind w:firstLine="643" w:firstLineChars="200"/>
        <w:jc w:val="center"/>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第二部分 202</w:t>
      </w:r>
      <w:r>
        <w:rPr>
          <w:rStyle w:val="6"/>
          <w:rFonts w:hint="eastAsia" w:ascii="仿宋" w:hAnsi="仿宋" w:eastAsia="仿宋" w:cs="仿宋"/>
          <w:b/>
          <w:bCs/>
          <w:color w:val="000000"/>
          <w:kern w:val="2"/>
          <w:sz w:val="32"/>
          <w:szCs w:val="32"/>
          <w:lang w:val="en-US" w:eastAsia="zh-CN" w:bidi="ar-SA"/>
        </w:rPr>
        <w:t>1</w:t>
      </w:r>
      <w:r>
        <w:rPr>
          <w:rStyle w:val="6"/>
          <w:rFonts w:ascii="仿宋" w:hAnsi="仿宋" w:eastAsia="仿宋" w:cs="仿宋"/>
          <w:b/>
          <w:bCs/>
          <w:color w:val="000000"/>
          <w:kern w:val="2"/>
          <w:sz w:val="32"/>
          <w:szCs w:val="32"/>
          <w:lang w:val="en-US" w:eastAsia="zh-CN" w:bidi="ar-SA"/>
        </w:rPr>
        <w:t>年部门预算公开报表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一、部门预算收支总表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二、部门预算收入总表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三、部门预算支出总表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四、部门预算财政拨款收支总表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五、部门预算一般公共预算财政拨款支出表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六、部门预算一般公共预算财政拨款基本支出表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七、部门预算政府基金预算财政拨款支出表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八、部门预算国有资本经营预算财政拨款支出表</w:t>
      </w:r>
    </w:p>
    <w:p>
      <w:pPr>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九、部门预算财政拨款“三公”经费支出表</w:t>
      </w:r>
    </w:p>
    <w:p>
      <w:pPr>
        <w:snapToGrid w:val="0"/>
        <w:spacing w:before="100" w:beforeAutospacing="1" w:after="100" w:afterAutospacing="1" w:line="400" w:lineRule="exact"/>
        <w:jc w:val="both"/>
        <w:textAlignment w:val="baseline"/>
        <w:rPr>
          <w:rStyle w:val="6"/>
          <w:rFonts w:ascii="宋体" w:hAnsi="宋体" w:cs="仿宋"/>
          <w:b/>
          <w:bCs/>
          <w:color w:val="000000"/>
          <w:kern w:val="2"/>
          <w:sz w:val="44"/>
          <w:szCs w:val="44"/>
          <w:lang w:val="en-US" w:eastAsia="zh-CN" w:bidi="ar-SA"/>
        </w:rPr>
      </w:pPr>
    </w:p>
    <w:p>
      <w:pPr>
        <w:snapToGrid w:val="0"/>
        <w:spacing w:before="100" w:beforeAutospacing="1" w:after="100" w:afterAutospacing="1" w:line="440" w:lineRule="exact"/>
        <w:jc w:val="center"/>
        <w:textAlignment w:val="baseline"/>
        <w:rPr>
          <w:rStyle w:val="6"/>
          <w:rFonts w:ascii="仿宋" w:hAnsi="仿宋" w:eastAsia="仿宋" w:cs="仿宋"/>
          <w:b/>
          <w:bCs/>
          <w:kern w:val="2"/>
          <w:sz w:val="44"/>
          <w:szCs w:val="44"/>
          <w:lang w:val="en-US" w:eastAsia="zh-CN" w:bidi="ar-SA"/>
        </w:rPr>
      </w:pPr>
      <w:r>
        <w:rPr>
          <w:rStyle w:val="6"/>
          <w:rFonts w:ascii="仿宋" w:hAnsi="仿宋" w:eastAsia="仿宋" w:cs="仿宋"/>
          <w:b/>
          <w:bCs/>
          <w:kern w:val="2"/>
          <w:sz w:val="44"/>
          <w:szCs w:val="44"/>
          <w:lang w:val="en-US" w:eastAsia="zh-CN" w:bidi="ar-SA"/>
        </w:rPr>
        <w:t>唐山市丰南区大新庄镇寺坨小学</w:t>
      </w:r>
    </w:p>
    <w:p>
      <w:pPr>
        <w:snapToGrid w:val="0"/>
        <w:spacing w:before="100" w:beforeAutospacing="1" w:after="100" w:afterAutospacing="1" w:line="440" w:lineRule="exact"/>
        <w:jc w:val="center"/>
        <w:textAlignment w:val="baseline"/>
        <w:rPr>
          <w:rStyle w:val="6"/>
          <w:rFonts w:ascii="仿宋" w:hAnsi="仿宋" w:eastAsia="仿宋" w:cs="仿宋"/>
          <w:b/>
          <w:bCs/>
          <w:color w:val="000000"/>
          <w:kern w:val="2"/>
          <w:sz w:val="44"/>
          <w:szCs w:val="44"/>
          <w:lang w:val="en-US" w:eastAsia="zh-CN" w:bidi="ar-SA"/>
        </w:rPr>
      </w:pPr>
      <w:r>
        <w:rPr>
          <w:rStyle w:val="6"/>
          <w:rFonts w:ascii="仿宋" w:hAnsi="仿宋" w:eastAsia="仿宋" w:cs="仿宋"/>
          <w:b/>
          <w:bCs/>
          <w:color w:val="000000"/>
          <w:kern w:val="2"/>
          <w:sz w:val="44"/>
          <w:szCs w:val="44"/>
          <w:lang w:val="en-US" w:eastAsia="zh-CN" w:bidi="ar-SA"/>
        </w:rPr>
        <w:t>202</w:t>
      </w:r>
      <w:r>
        <w:rPr>
          <w:rStyle w:val="6"/>
          <w:rFonts w:hint="eastAsia" w:ascii="仿宋" w:hAnsi="仿宋" w:eastAsia="仿宋" w:cs="仿宋"/>
          <w:b/>
          <w:bCs/>
          <w:color w:val="000000"/>
          <w:kern w:val="2"/>
          <w:sz w:val="44"/>
          <w:szCs w:val="44"/>
          <w:lang w:val="en-US" w:eastAsia="zh-CN" w:bidi="ar-SA"/>
        </w:rPr>
        <w:t>1</w:t>
      </w:r>
      <w:r>
        <w:rPr>
          <w:rStyle w:val="6"/>
          <w:rFonts w:ascii="仿宋" w:hAnsi="仿宋" w:eastAsia="仿宋" w:cs="仿宋"/>
          <w:b/>
          <w:bCs/>
          <w:color w:val="000000"/>
          <w:kern w:val="2"/>
          <w:sz w:val="44"/>
          <w:szCs w:val="44"/>
          <w:lang w:val="en-US" w:eastAsia="zh-CN" w:bidi="ar-SA"/>
        </w:rPr>
        <w:t>年单位预算公开有关事项的说明</w:t>
      </w:r>
    </w:p>
    <w:p>
      <w:pPr>
        <w:snapToGrid w:val="0"/>
        <w:spacing w:before="100" w:beforeAutospacing="1" w:after="100" w:afterAutospacing="1" w:line="400" w:lineRule="exact"/>
        <w:ind w:firstLine="800" w:firstLineChars="250"/>
        <w:jc w:val="center"/>
        <w:textAlignment w:val="baseline"/>
        <w:rPr>
          <w:rStyle w:val="6"/>
          <w:rFonts w:ascii="仿宋" w:hAnsi="仿宋" w:eastAsia="仿宋" w:cs="仿宋"/>
          <w:bCs/>
          <w:color w:val="000000"/>
          <w:kern w:val="2"/>
          <w:sz w:val="32"/>
          <w:szCs w:val="32"/>
          <w:lang w:val="en-US" w:eastAsia="zh-CN" w:bidi="ar-SA"/>
        </w:rPr>
      </w:pPr>
    </w:p>
    <w:p>
      <w:pPr>
        <w:snapToGrid w:val="0"/>
        <w:spacing w:line="360" w:lineRule="auto"/>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按照《预算法》、《河北省预决算公开操作规程实施细则》规定，现将唐山市丰南区大新庄镇寺坨小学202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年单位预算公开如下：</w:t>
      </w:r>
    </w:p>
    <w:p>
      <w:pPr>
        <w:snapToGrid w:val="0"/>
        <w:spacing w:line="360" w:lineRule="auto"/>
        <w:ind w:firstLine="640"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一、</w:t>
      </w:r>
      <w:r>
        <w:rPr>
          <w:rStyle w:val="6"/>
          <w:rFonts w:ascii="仿宋" w:hAnsi="仿宋" w:eastAsia="仿宋"/>
          <w:b/>
          <w:color w:val="000000"/>
          <w:kern w:val="2"/>
          <w:sz w:val="32"/>
          <w:szCs w:val="32"/>
          <w:lang w:val="en-US" w:eastAsia="zh-CN" w:bidi="ar-SA"/>
        </w:rPr>
        <w:t>单位职责及机构设置情况</w:t>
      </w:r>
    </w:p>
    <w:p>
      <w:pPr>
        <w:snapToGrid w:val="0"/>
        <w:spacing w:line="360" w:lineRule="auto"/>
        <w:ind w:firstLine="643"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1、单位职责：</w:t>
      </w:r>
      <w:r>
        <w:rPr>
          <w:rStyle w:val="6"/>
          <w:rFonts w:ascii="仿宋" w:hAnsi="仿宋" w:eastAsia="仿宋" w:cs="仿宋"/>
          <w:bCs/>
          <w:color w:val="000000"/>
          <w:kern w:val="2"/>
          <w:sz w:val="32"/>
          <w:szCs w:val="32"/>
          <w:lang w:val="en-US" w:eastAsia="zh-CN" w:bidi="ar-SA"/>
        </w:rPr>
        <w:t>承担小学教育、学前教育的职责。</w:t>
      </w:r>
    </w:p>
    <w:p>
      <w:pPr>
        <w:snapToGrid w:val="0"/>
        <w:spacing w:line="360" w:lineRule="auto"/>
        <w:ind w:firstLine="643" w:firstLineChars="200"/>
        <w:jc w:val="left"/>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2、机构设置</w:t>
      </w:r>
    </w:p>
    <w:tbl>
      <w:tblPr>
        <w:tblStyle w:val="4"/>
        <w:tblpPr w:leftFromText="180" w:rightFromText="180" w:vertAnchor="text" w:horzAnchor="margin" w:tblpXSpec="center" w:tblpY="99"/>
        <w:tblW w:w="861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227"/>
        <w:gridCol w:w="1559"/>
        <w:gridCol w:w="1701"/>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00" w:hRule="atLeast"/>
          <w:tblHeader/>
        </w:trPr>
        <w:tc>
          <w:tcPr>
            <w:tcW w:w="3227"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ind w:firstLine="843" w:firstLineChars="400"/>
              <w:jc w:val="both"/>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单位名称</w:t>
            </w:r>
          </w:p>
        </w:tc>
        <w:tc>
          <w:tcPr>
            <w:tcW w:w="1559"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单位性质</w:t>
            </w:r>
          </w:p>
        </w:tc>
        <w:tc>
          <w:tcPr>
            <w:tcW w:w="1701"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单位规格</w:t>
            </w:r>
          </w:p>
        </w:tc>
        <w:tc>
          <w:tcPr>
            <w:tcW w:w="2126" w:type="dxa"/>
            <w:vMerge w:val="restart"/>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b/>
                <w:color w:val="000000"/>
                <w:kern w:val="2"/>
                <w:sz w:val="21"/>
                <w:szCs w:val="21"/>
                <w:lang w:val="en-US" w:eastAsia="zh-CN" w:bidi="ar-SA"/>
              </w:rPr>
            </w:pPr>
            <w:r>
              <w:rPr>
                <w:rStyle w:val="6"/>
                <w:rFonts w:ascii="宋体" w:hAnsi="宋体"/>
                <w:b/>
                <w:color w:val="000000"/>
                <w:kern w:val="2"/>
                <w:sz w:val="21"/>
                <w:szCs w:val="21"/>
                <w:lang w:val="en-US" w:eastAsia="zh-CN" w:bidi="ar-SA"/>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cantSplit/>
          <w:trHeight w:val="300" w:hRule="atLeast"/>
          <w:tblHeader/>
        </w:trPr>
        <w:tc>
          <w:tcPr>
            <w:tcW w:w="3227"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c>
          <w:tcPr>
            <w:tcW w:w="1559"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c>
          <w:tcPr>
            <w:tcW w:w="1701"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c>
          <w:tcPr>
            <w:tcW w:w="2126" w:type="dxa"/>
            <w:vMerge w:val="continue"/>
            <w:tcBorders>
              <w:top w:val="single" w:color="000000" w:sz="6" w:space="0"/>
              <w:left w:val="single" w:color="000000" w:sz="6" w:space="0"/>
              <w:bottom w:val="single" w:color="000000" w:sz="6" w:space="0"/>
              <w:right w:val="single" w:color="000000" w:sz="6" w:space="0"/>
            </w:tcBorders>
            <w:vAlign w:val="center"/>
          </w:tcPr>
          <w:p>
            <w:pPr>
              <w:spacing w:line="300" w:lineRule="exact"/>
              <w:jc w:val="left"/>
              <w:textAlignment w:val="baseline"/>
              <w:rPr>
                <w:rStyle w:val="6"/>
                <w:rFonts w:ascii="宋体" w:hAnsi="宋体"/>
                <w:color w:val="000000"/>
                <w:kern w:val="2"/>
                <w:sz w:val="21"/>
                <w:szCs w:val="21"/>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0" w:hRule="atLeast"/>
        </w:trPr>
        <w:tc>
          <w:tcPr>
            <w:tcW w:w="3227"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color w:val="000000"/>
                <w:kern w:val="2"/>
                <w:sz w:val="18"/>
                <w:szCs w:val="18"/>
                <w:lang w:val="en-US" w:eastAsia="zh-CN" w:bidi="ar-SA"/>
              </w:rPr>
            </w:pPr>
            <w:r>
              <w:rPr>
                <w:rStyle w:val="6"/>
                <w:rFonts w:ascii="宋体" w:hAnsi="宋体"/>
                <w:color w:val="000000"/>
                <w:kern w:val="2"/>
                <w:sz w:val="18"/>
                <w:szCs w:val="18"/>
                <w:lang w:val="en-US" w:eastAsia="zh-CN" w:bidi="ar-SA"/>
              </w:rPr>
              <w:t>唐山市丰南区大新庄镇寺坨小学</w:t>
            </w:r>
          </w:p>
        </w:tc>
        <w:tc>
          <w:tcPr>
            <w:tcW w:w="1559"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事业</w:t>
            </w:r>
          </w:p>
        </w:tc>
        <w:tc>
          <w:tcPr>
            <w:tcW w:w="1701"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其他</w:t>
            </w:r>
          </w:p>
        </w:tc>
        <w:tc>
          <w:tcPr>
            <w:tcW w:w="2126" w:type="dxa"/>
            <w:tcBorders>
              <w:top w:val="single" w:color="000000" w:sz="6" w:space="0"/>
              <w:left w:val="single" w:color="000000" w:sz="6" w:space="0"/>
              <w:bottom w:val="single" w:color="000000" w:sz="6" w:space="0"/>
              <w:right w:val="single" w:color="000000" w:sz="6" w:space="0"/>
            </w:tcBorders>
            <w:vAlign w:val="center"/>
          </w:tcPr>
          <w:p>
            <w:pPr>
              <w:spacing w:line="300" w:lineRule="exact"/>
              <w:jc w:val="center"/>
              <w:textAlignment w:val="baseline"/>
              <w:rPr>
                <w:rStyle w:val="6"/>
                <w:rFonts w:hint="default" w:ascii="宋体" w:hAnsi="宋体"/>
                <w:color w:val="000000"/>
                <w:kern w:val="2"/>
                <w:sz w:val="21"/>
                <w:szCs w:val="21"/>
                <w:lang w:val="en-US" w:eastAsia="zh-CN" w:bidi="ar-SA"/>
              </w:rPr>
            </w:pPr>
            <w:r>
              <w:rPr>
                <w:rStyle w:val="6"/>
                <w:rFonts w:ascii="宋体" w:hAnsi="宋体"/>
                <w:color w:val="000000"/>
                <w:kern w:val="2"/>
                <w:sz w:val="21"/>
                <w:szCs w:val="21"/>
                <w:lang w:val="en-US" w:eastAsia="zh-CN" w:bidi="ar-SA"/>
              </w:rPr>
              <w:t>财政</w:t>
            </w:r>
            <w:r>
              <w:rPr>
                <w:rStyle w:val="6"/>
                <w:rFonts w:hint="eastAsia" w:ascii="宋体" w:hAnsi="宋体"/>
                <w:color w:val="000000"/>
                <w:kern w:val="2"/>
                <w:sz w:val="21"/>
                <w:szCs w:val="21"/>
                <w:lang w:val="en-US" w:eastAsia="zh-CN" w:bidi="ar-SA"/>
              </w:rPr>
              <w:t>性资金基本保障</w:t>
            </w:r>
          </w:p>
        </w:tc>
      </w:tr>
    </w:tbl>
    <w:p>
      <w:pPr>
        <w:snapToGrid w:val="0"/>
        <w:spacing w:line="360" w:lineRule="auto"/>
        <w:jc w:val="both"/>
        <w:textAlignment w:val="baseline"/>
        <w:rPr>
          <w:rStyle w:val="6"/>
          <w:rFonts w:ascii="仿宋" w:hAnsi="仿宋" w:eastAsia="仿宋" w:cs="仿宋"/>
          <w:bCs/>
          <w:color w:val="000000"/>
          <w:kern w:val="2"/>
          <w:sz w:val="32"/>
          <w:szCs w:val="32"/>
          <w:lang w:val="en-US" w:eastAsia="zh-CN" w:bidi="ar-SA"/>
        </w:rPr>
      </w:pP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 xml:space="preserve">内设2个办公机构，具体包括: </w:t>
      </w:r>
      <w:r>
        <w:rPr>
          <w:rStyle w:val="6"/>
          <w:rFonts w:ascii="仿宋_GB2312" w:hAnsi="仿宋" w:eastAsia="仿宋_GB2312"/>
          <w:kern w:val="2"/>
          <w:sz w:val="32"/>
          <w:szCs w:val="32"/>
          <w:lang w:val="en-US" w:eastAsia="zh-CN" w:bidi="ar-SA"/>
        </w:rPr>
        <w:t>办公室、教导处。</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3、人员构成</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我单位财政供养实有在职</w:t>
      </w:r>
      <w:r>
        <w:rPr>
          <w:rStyle w:val="6"/>
          <w:rFonts w:hint="eastAsia" w:ascii="仿宋" w:hAnsi="仿宋" w:eastAsia="仿宋" w:cs="仿宋"/>
          <w:bCs/>
          <w:color w:val="000000"/>
          <w:kern w:val="2"/>
          <w:sz w:val="32"/>
          <w:szCs w:val="32"/>
          <w:lang w:val="en-US" w:eastAsia="zh-CN" w:bidi="ar-SA"/>
        </w:rPr>
        <w:t>18</w:t>
      </w:r>
      <w:r>
        <w:rPr>
          <w:rStyle w:val="6"/>
          <w:rFonts w:ascii="仿宋" w:hAnsi="仿宋" w:eastAsia="仿宋" w:cs="仿宋"/>
          <w:bCs/>
          <w:color w:val="000000"/>
          <w:kern w:val="2"/>
          <w:sz w:val="32"/>
          <w:szCs w:val="32"/>
          <w:lang w:val="en-US" w:eastAsia="zh-CN" w:bidi="ar-SA"/>
        </w:rPr>
        <w:t>人，其中事业编制</w:t>
      </w:r>
      <w:r>
        <w:rPr>
          <w:rStyle w:val="6"/>
          <w:rFonts w:hint="eastAsia" w:ascii="仿宋" w:hAnsi="仿宋" w:eastAsia="仿宋" w:cs="仿宋"/>
          <w:bCs/>
          <w:color w:val="000000"/>
          <w:kern w:val="2"/>
          <w:sz w:val="32"/>
          <w:szCs w:val="32"/>
          <w:lang w:val="en-US" w:eastAsia="zh-CN" w:bidi="ar-SA"/>
        </w:rPr>
        <w:t>14</w:t>
      </w:r>
      <w:r>
        <w:rPr>
          <w:rStyle w:val="6"/>
          <w:rFonts w:ascii="仿宋" w:hAnsi="仿宋" w:eastAsia="仿宋" w:cs="仿宋"/>
          <w:bCs/>
          <w:color w:val="000000"/>
          <w:kern w:val="2"/>
          <w:sz w:val="32"/>
          <w:szCs w:val="32"/>
          <w:lang w:val="en-US" w:eastAsia="zh-CN" w:bidi="ar-SA"/>
        </w:rPr>
        <w:t>人，非工资统发聘用制人员</w:t>
      </w:r>
      <w:r>
        <w:rPr>
          <w:rStyle w:val="6"/>
          <w:rFonts w:hint="eastAsia" w:ascii="仿宋" w:hAnsi="仿宋" w:eastAsia="仿宋" w:cs="仿宋"/>
          <w:bCs/>
          <w:color w:val="000000"/>
          <w:kern w:val="2"/>
          <w:sz w:val="32"/>
          <w:szCs w:val="32"/>
          <w:lang w:val="en-US" w:eastAsia="zh-CN" w:bidi="ar-SA"/>
        </w:rPr>
        <w:t>4</w:t>
      </w:r>
      <w:r>
        <w:rPr>
          <w:rStyle w:val="6"/>
          <w:rFonts w:ascii="仿宋" w:hAnsi="仿宋" w:eastAsia="仿宋" w:cs="仿宋"/>
          <w:bCs/>
          <w:color w:val="000000"/>
          <w:kern w:val="2"/>
          <w:sz w:val="32"/>
          <w:szCs w:val="32"/>
          <w:lang w:val="en-US" w:eastAsia="zh-CN" w:bidi="ar-SA"/>
        </w:rPr>
        <w:t>人。</w:t>
      </w:r>
      <w:r>
        <w:rPr>
          <w:rStyle w:val="6"/>
          <w:rFonts w:ascii="仿宋_GB2312" w:hAnsi="仿宋" w:eastAsia="仿宋_GB2312"/>
          <w:kern w:val="2"/>
          <w:sz w:val="32"/>
          <w:szCs w:val="32"/>
          <w:lang w:val="en-US" w:eastAsia="zh-CN" w:bidi="ar-SA"/>
        </w:rPr>
        <w:t>劳务派遣</w:t>
      </w:r>
      <w:r>
        <w:rPr>
          <w:rStyle w:val="6"/>
          <w:rFonts w:hint="eastAsia" w:ascii="仿宋_GB2312" w:hAnsi="仿宋" w:eastAsia="仿宋_GB2312"/>
          <w:kern w:val="2"/>
          <w:sz w:val="32"/>
          <w:szCs w:val="32"/>
          <w:lang w:val="en-US" w:eastAsia="zh-CN" w:bidi="ar-SA"/>
        </w:rPr>
        <w:t>20</w:t>
      </w:r>
      <w:r>
        <w:rPr>
          <w:rStyle w:val="6"/>
          <w:rFonts w:ascii="仿宋" w:hAnsi="仿宋" w:eastAsia="仿宋" w:cs="仿宋"/>
          <w:bCs/>
          <w:color w:val="000000"/>
          <w:kern w:val="2"/>
          <w:sz w:val="32"/>
          <w:szCs w:val="32"/>
          <w:lang w:val="en-US" w:eastAsia="zh-CN" w:bidi="ar-SA"/>
        </w:rPr>
        <w:t>人。</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二、单位预算安排的总体情况</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1、收入预算说明</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年单位收入预算</w:t>
      </w:r>
      <w:r>
        <w:rPr>
          <w:rStyle w:val="6"/>
          <w:rFonts w:hint="eastAsia" w:ascii="仿宋" w:hAnsi="仿宋" w:eastAsia="仿宋" w:cs="仿宋"/>
          <w:bCs/>
          <w:color w:val="000000"/>
          <w:kern w:val="2"/>
          <w:sz w:val="32"/>
          <w:szCs w:val="32"/>
          <w:lang w:val="en-US" w:eastAsia="zh-CN" w:bidi="ar-SA"/>
        </w:rPr>
        <w:t>349.31</w:t>
      </w:r>
      <w:r>
        <w:rPr>
          <w:rStyle w:val="6"/>
          <w:rFonts w:ascii="仿宋" w:hAnsi="仿宋" w:eastAsia="仿宋" w:cs="仿宋"/>
          <w:bCs/>
          <w:color w:val="000000"/>
          <w:kern w:val="2"/>
          <w:sz w:val="32"/>
          <w:szCs w:val="32"/>
          <w:lang w:val="en-US" w:eastAsia="zh-CN" w:bidi="ar-SA"/>
        </w:rPr>
        <w:t>万元，其中：一般公共预算拨款</w:t>
      </w:r>
      <w:r>
        <w:rPr>
          <w:rStyle w:val="6"/>
          <w:rFonts w:hint="eastAsia" w:ascii="仿宋" w:hAnsi="仿宋" w:eastAsia="仿宋" w:cs="仿宋"/>
          <w:bCs/>
          <w:color w:val="000000"/>
          <w:kern w:val="2"/>
          <w:sz w:val="32"/>
          <w:szCs w:val="32"/>
          <w:lang w:val="en-US" w:eastAsia="zh-CN" w:bidi="ar-SA"/>
        </w:rPr>
        <w:t>349.31</w:t>
      </w:r>
      <w:r>
        <w:rPr>
          <w:rStyle w:val="6"/>
          <w:rFonts w:ascii="仿宋" w:hAnsi="仿宋" w:eastAsia="仿宋" w:cs="仿宋"/>
          <w:bCs/>
          <w:color w:val="000000"/>
          <w:kern w:val="2"/>
          <w:sz w:val="32"/>
          <w:szCs w:val="32"/>
          <w:lang w:val="en-US" w:eastAsia="zh-CN" w:bidi="ar-SA"/>
        </w:rPr>
        <w:t>万元，政府性基金预算拨款0万元，国有资本经营预算拨款0万元，财政专户核拨0万元，其它来源收入0万元。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 xml:space="preserve">2、支出预算说明 </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年支出预算</w:t>
      </w:r>
      <w:r>
        <w:rPr>
          <w:rStyle w:val="6"/>
          <w:rFonts w:hint="eastAsia" w:ascii="仿宋" w:hAnsi="仿宋" w:eastAsia="仿宋" w:cs="仿宋"/>
          <w:bCs/>
          <w:color w:val="000000"/>
          <w:kern w:val="2"/>
          <w:sz w:val="32"/>
          <w:szCs w:val="32"/>
          <w:lang w:val="en-US" w:eastAsia="zh-CN" w:bidi="ar-SA"/>
        </w:rPr>
        <w:t>349.31</w:t>
      </w:r>
      <w:r>
        <w:rPr>
          <w:rStyle w:val="6"/>
          <w:rFonts w:ascii="仿宋" w:hAnsi="仿宋" w:eastAsia="仿宋" w:cs="仿宋"/>
          <w:bCs/>
          <w:color w:val="000000"/>
          <w:kern w:val="2"/>
          <w:sz w:val="32"/>
          <w:szCs w:val="32"/>
          <w:lang w:val="en-US" w:eastAsia="zh-CN" w:bidi="ar-SA"/>
        </w:rPr>
        <w:t>万元，其中：人员经费支出</w:t>
      </w:r>
      <w:r>
        <w:rPr>
          <w:rStyle w:val="6"/>
          <w:rFonts w:hint="eastAsia" w:ascii="仿宋" w:hAnsi="仿宋" w:eastAsia="仿宋" w:cs="仿宋"/>
          <w:bCs/>
          <w:color w:val="000000"/>
          <w:kern w:val="2"/>
          <w:sz w:val="32"/>
          <w:szCs w:val="32"/>
          <w:lang w:val="en-US" w:eastAsia="zh-CN" w:bidi="ar-SA"/>
        </w:rPr>
        <w:t>235.02</w:t>
      </w:r>
      <w:r>
        <w:rPr>
          <w:rStyle w:val="6"/>
          <w:rFonts w:ascii="仿宋" w:hAnsi="仿宋" w:eastAsia="仿宋" w:cs="仿宋"/>
          <w:bCs/>
          <w:color w:val="000000"/>
          <w:kern w:val="2"/>
          <w:sz w:val="32"/>
          <w:szCs w:val="32"/>
          <w:lang w:val="en-US" w:eastAsia="zh-CN" w:bidi="ar-SA"/>
        </w:rPr>
        <w:t>万元，日常公用经费支出</w:t>
      </w:r>
      <w:r>
        <w:rPr>
          <w:rStyle w:val="6"/>
          <w:rFonts w:hint="eastAsia" w:ascii="仿宋" w:hAnsi="仿宋" w:eastAsia="仿宋" w:cs="仿宋"/>
          <w:bCs/>
          <w:color w:val="000000"/>
          <w:kern w:val="2"/>
          <w:sz w:val="32"/>
          <w:szCs w:val="32"/>
          <w:lang w:val="en-US" w:eastAsia="zh-CN" w:bidi="ar-SA"/>
        </w:rPr>
        <w:t>31.76</w:t>
      </w:r>
      <w:r>
        <w:rPr>
          <w:rStyle w:val="6"/>
          <w:rFonts w:ascii="仿宋" w:hAnsi="仿宋" w:eastAsia="仿宋" w:cs="仿宋"/>
          <w:bCs/>
          <w:color w:val="000000"/>
          <w:kern w:val="2"/>
          <w:sz w:val="32"/>
          <w:szCs w:val="32"/>
          <w:lang w:val="en-US" w:eastAsia="zh-CN" w:bidi="ar-SA"/>
        </w:rPr>
        <w:t>万元；项目支出</w:t>
      </w:r>
      <w:r>
        <w:rPr>
          <w:rStyle w:val="6"/>
          <w:rFonts w:hint="eastAsia" w:ascii="仿宋" w:hAnsi="仿宋" w:eastAsia="仿宋" w:cs="仿宋"/>
          <w:bCs/>
          <w:color w:val="000000"/>
          <w:kern w:val="2"/>
          <w:sz w:val="32"/>
          <w:szCs w:val="32"/>
          <w:lang w:val="en-US" w:eastAsia="zh-CN" w:bidi="ar-SA"/>
        </w:rPr>
        <w:t>82.53</w:t>
      </w:r>
      <w:r>
        <w:rPr>
          <w:rStyle w:val="6"/>
          <w:rFonts w:ascii="仿宋" w:hAnsi="仿宋" w:eastAsia="仿宋" w:cs="仿宋"/>
          <w:bCs/>
          <w:color w:val="000000"/>
          <w:kern w:val="2"/>
          <w:sz w:val="32"/>
          <w:szCs w:val="32"/>
          <w:lang w:val="en-US" w:eastAsia="zh-CN" w:bidi="ar-SA"/>
        </w:rPr>
        <w:t>万元，主要用于劳务派遣人员工资及保险</w:t>
      </w:r>
      <w:r>
        <w:rPr>
          <w:rStyle w:val="6"/>
          <w:rFonts w:hint="eastAsia" w:ascii="仿宋" w:hAnsi="仿宋" w:eastAsia="仿宋" w:cs="仿宋"/>
          <w:bCs/>
          <w:color w:val="000000"/>
          <w:kern w:val="2"/>
          <w:sz w:val="32"/>
          <w:szCs w:val="32"/>
          <w:lang w:val="en-US" w:eastAsia="zh-CN" w:bidi="ar-SA"/>
        </w:rPr>
        <w:t>82.53</w:t>
      </w:r>
      <w:r>
        <w:rPr>
          <w:rStyle w:val="6"/>
          <w:rFonts w:ascii="仿宋" w:hAnsi="仿宋" w:eastAsia="仿宋" w:cs="仿宋"/>
          <w:bCs/>
          <w:color w:val="000000"/>
          <w:kern w:val="2"/>
          <w:sz w:val="32"/>
          <w:szCs w:val="32"/>
          <w:lang w:val="en-US" w:eastAsia="zh-CN" w:bidi="ar-SA"/>
        </w:rPr>
        <w:t>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3、单位预算教上年增减情况</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年收入预算较20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w:t>
      </w:r>
      <w:r>
        <w:rPr>
          <w:rStyle w:val="6"/>
          <w:rFonts w:hint="eastAsia" w:ascii="仿宋" w:hAnsi="仿宋" w:eastAsia="仿宋" w:cs="仿宋"/>
          <w:bCs/>
          <w:color w:val="000000"/>
          <w:kern w:val="2"/>
          <w:sz w:val="32"/>
          <w:szCs w:val="32"/>
          <w:lang w:val="en-US" w:eastAsia="zh-CN" w:bidi="ar-SA"/>
        </w:rPr>
        <w:t>增加48.78</w:t>
      </w:r>
      <w:r>
        <w:rPr>
          <w:rStyle w:val="6"/>
          <w:rFonts w:ascii="仿宋" w:hAnsi="仿宋" w:eastAsia="仿宋" w:cs="仿宋"/>
          <w:bCs/>
          <w:color w:val="000000"/>
          <w:kern w:val="2"/>
          <w:sz w:val="32"/>
          <w:szCs w:val="32"/>
          <w:lang w:val="en-US" w:eastAsia="zh-CN" w:bidi="ar-SA"/>
        </w:rPr>
        <w:t>万元，主要由于</w:t>
      </w:r>
      <w:r>
        <w:rPr>
          <w:rStyle w:val="6"/>
          <w:rFonts w:ascii="仿宋_GB2312" w:hAnsi="仿宋" w:eastAsia="仿宋_GB2312"/>
          <w:kern w:val="2"/>
          <w:sz w:val="32"/>
          <w:szCs w:val="32"/>
          <w:lang w:val="en-US" w:eastAsia="zh-CN" w:bidi="ar-SA"/>
        </w:rPr>
        <w:t>教师人数增加，经费增加</w:t>
      </w:r>
      <w:r>
        <w:rPr>
          <w:rStyle w:val="6"/>
          <w:rFonts w:ascii="仿宋" w:hAnsi="仿宋" w:eastAsia="仿宋" w:cs="仿宋"/>
          <w:bCs/>
          <w:color w:val="000000"/>
          <w:kern w:val="2"/>
          <w:sz w:val="32"/>
          <w:szCs w:val="32"/>
          <w:lang w:val="en-US" w:eastAsia="zh-CN" w:bidi="ar-SA"/>
        </w:rPr>
        <w:t>。</w:t>
      </w:r>
    </w:p>
    <w:p>
      <w:pPr>
        <w:snapToGrid w:val="0"/>
        <w:spacing w:line="560" w:lineRule="exact"/>
        <w:ind w:firstLine="680"/>
        <w:jc w:val="both"/>
        <w:textAlignment w:val="baseline"/>
        <w:rPr>
          <w:rStyle w:val="6"/>
          <w:rFonts w:ascii="仿宋_GB2312" w:hAnsi="仿宋" w:eastAsia="仿宋_GB2312"/>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年支出预算较20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w:t>
      </w:r>
      <w:r>
        <w:rPr>
          <w:rStyle w:val="6"/>
          <w:rFonts w:hint="eastAsia" w:ascii="仿宋" w:hAnsi="仿宋" w:eastAsia="仿宋" w:cs="仿宋"/>
          <w:bCs/>
          <w:color w:val="000000"/>
          <w:kern w:val="2"/>
          <w:sz w:val="32"/>
          <w:szCs w:val="32"/>
          <w:lang w:val="en-US" w:eastAsia="zh-CN" w:bidi="ar-SA"/>
        </w:rPr>
        <w:t>增加48.78</w:t>
      </w:r>
      <w:r>
        <w:rPr>
          <w:rStyle w:val="6"/>
          <w:rFonts w:ascii="仿宋" w:hAnsi="仿宋" w:eastAsia="仿宋" w:cs="仿宋"/>
          <w:bCs/>
          <w:color w:val="000000"/>
          <w:kern w:val="2"/>
          <w:sz w:val="32"/>
          <w:szCs w:val="32"/>
          <w:lang w:val="en-US" w:eastAsia="zh-CN" w:bidi="ar-SA"/>
        </w:rPr>
        <w:t>万元，其中：基本支出</w:t>
      </w:r>
      <w:r>
        <w:rPr>
          <w:rStyle w:val="6"/>
          <w:rFonts w:hint="eastAsia" w:ascii="仿宋" w:hAnsi="仿宋" w:eastAsia="仿宋" w:cs="仿宋"/>
          <w:bCs/>
          <w:color w:val="000000"/>
          <w:kern w:val="2"/>
          <w:sz w:val="32"/>
          <w:szCs w:val="32"/>
          <w:lang w:val="en-US" w:eastAsia="zh-CN" w:bidi="ar-SA"/>
        </w:rPr>
        <w:t>增加19.1</w:t>
      </w:r>
      <w:r>
        <w:rPr>
          <w:rStyle w:val="6"/>
          <w:rFonts w:ascii="仿宋" w:hAnsi="仿宋" w:eastAsia="仿宋" w:cs="仿宋"/>
          <w:bCs/>
          <w:color w:val="000000"/>
          <w:kern w:val="2"/>
          <w:sz w:val="32"/>
          <w:szCs w:val="32"/>
          <w:lang w:val="en-US" w:eastAsia="zh-CN" w:bidi="ar-SA"/>
        </w:rPr>
        <w:t>万元，主要由于</w:t>
      </w:r>
      <w:r>
        <w:rPr>
          <w:rStyle w:val="6"/>
          <w:rFonts w:ascii="仿宋_GB2312" w:hAnsi="仿宋" w:eastAsia="仿宋_GB2312"/>
          <w:kern w:val="2"/>
          <w:sz w:val="32"/>
          <w:szCs w:val="32"/>
          <w:lang w:val="en-US" w:eastAsia="zh-CN" w:bidi="ar-SA"/>
        </w:rPr>
        <w:t>教师人数增加，经费增加</w:t>
      </w:r>
      <w:r>
        <w:rPr>
          <w:rStyle w:val="6"/>
          <w:rFonts w:ascii="仿宋" w:hAnsi="仿宋" w:eastAsia="仿宋" w:cs="仿宋"/>
          <w:bCs/>
          <w:color w:val="000000"/>
          <w:kern w:val="2"/>
          <w:sz w:val="32"/>
          <w:szCs w:val="32"/>
          <w:lang w:val="en-US" w:eastAsia="zh-CN" w:bidi="ar-SA"/>
        </w:rPr>
        <w:t>，项目支出增长</w:t>
      </w:r>
      <w:r>
        <w:rPr>
          <w:rStyle w:val="6"/>
          <w:rFonts w:hint="eastAsia" w:ascii="仿宋" w:hAnsi="仿宋" w:eastAsia="仿宋" w:cs="仿宋"/>
          <w:bCs/>
          <w:color w:val="000000"/>
          <w:kern w:val="2"/>
          <w:sz w:val="32"/>
          <w:szCs w:val="32"/>
          <w:lang w:val="en-US" w:eastAsia="zh-CN" w:bidi="ar-SA"/>
        </w:rPr>
        <w:t>8.08</w:t>
      </w:r>
      <w:r>
        <w:rPr>
          <w:rStyle w:val="6"/>
          <w:rFonts w:ascii="仿宋" w:hAnsi="仿宋" w:eastAsia="仿宋" w:cs="仿宋"/>
          <w:bCs/>
          <w:color w:val="000000"/>
          <w:kern w:val="2"/>
          <w:sz w:val="32"/>
          <w:szCs w:val="32"/>
          <w:lang w:val="en-US" w:eastAsia="zh-CN" w:bidi="ar-SA"/>
        </w:rPr>
        <w:t>万元，</w:t>
      </w:r>
      <w:r>
        <w:rPr>
          <w:rStyle w:val="6"/>
          <w:rFonts w:ascii="仿宋_GB2312" w:hAnsi="仿宋" w:eastAsia="仿宋_GB2312"/>
          <w:kern w:val="2"/>
          <w:sz w:val="32"/>
          <w:szCs w:val="32"/>
          <w:lang w:val="en-US" w:eastAsia="zh-CN" w:bidi="ar-SA"/>
        </w:rPr>
        <w:t>主要由于</w:t>
      </w:r>
      <w:r>
        <w:rPr>
          <w:rStyle w:val="6"/>
          <w:rFonts w:ascii="仿宋" w:hAnsi="仿宋" w:eastAsia="仿宋" w:cs="仿宋"/>
          <w:bCs/>
          <w:color w:val="000000"/>
          <w:kern w:val="2"/>
          <w:sz w:val="32"/>
          <w:szCs w:val="32"/>
          <w:lang w:val="en-US" w:eastAsia="zh-CN" w:bidi="ar-SA"/>
        </w:rPr>
        <w:t>预算填报口径调整，劳务派遣人员工资及义务教育生均公用经费由日常公用支出调整到项目支出</w:t>
      </w:r>
      <w:r>
        <w:rPr>
          <w:rStyle w:val="6"/>
          <w:rFonts w:ascii="仿宋_GB2312" w:hAnsi="仿宋" w:eastAsia="仿宋_GB2312"/>
          <w:kern w:val="2"/>
          <w:sz w:val="32"/>
          <w:szCs w:val="32"/>
          <w:lang w:val="en-US" w:eastAsia="zh-CN" w:bidi="ar-SA"/>
        </w:rPr>
        <w:t>。</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三、机关(事业)运行经费安排情况</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年我单位机关（事业）运行经费</w:t>
      </w:r>
      <w:r>
        <w:rPr>
          <w:rStyle w:val="6"/>
          <w:rFonts w:hint="eastAsia" w:ascii="仿宋" w:hAnsi="仿宋" w:eastAsia="仿宋" w:cs="仿宋"/>
          <w:bCs/>
          <w:color w:val="000000"/>
          <w:kern w:val="2"/>
          <w:sz w:val="32"/>
          <w:szCs w:val="32"/>
          <w:lang w:val="en-US" w:eastAsia="zh-CN" w:bidi="ar-SA"/>
        </w:rPr>
        <w:t>31.76</w:t>
      </w:r>
      <w:r>
        <w:rPr>
          <w:rStyle w:val="6"/>
          <w:rFonts w:ascii="仿宋" w:hAnsi="仿宋" w:eastAsia="仿宋" w:cs="仿宋"/>
          <w:bCs/>
          <w:color w:val="000000"/>
          <w:kern w:val="2"/>
          <w:sz w:val="32"/>
          <w:szCs w:val="32"/>
          <w:lang w:val="en-US" w:eastAsia="zh-CN" w:bidi="ar-SA"/>
        </w:rPr>
        <w:t>万元，维修费</w:t>
      </w:r>
      <w:r>
        <w:rPr>
          <w:rStyle w:val="6"/>
          <w:rFonts w:hint="eastAsia" w:ascii="仿宋" w:hAnsi="仿宋" w:eastAsia="仿宋" w:cs="仿宋"/>
          <w:bCs/>
          <w:color w:val="000000"/>
          <w:kern w:val="2"/>
          <w:sz w:val="32"/>
          <w:szCs w:val="32"/>
          <w:lang w:val="en-US" w:eastAsia="zh-CN" w:bidi="ar-SA"/>
        </w:rPr>
        <w:t>23.14</w:t>
      </w:r>
      <w:r>
        <w:rPr>
          <w:rStyle w:val="6"/>
          <w:rFonts w:ascii="仿宋" w:hAnsi="仿宋" w:eastAsia="仿宋" w:cs="仿宋"/>
          <w:bCs/>
          <w:color w:val="000000"/>
          <w:kern w:val="2"/>
          <w:sz w:val="32"/>
          <w:szCs w:val="32"/>
          <w:lang w:val="en-US" w:eastAsia="zh-CN" w:bidi="ar-SA"/>
        </w:rPr>
        <w:t>万元、培训费</w:t>
      </w:r>
      <w:r>
        <w:rPr>
          <w:rStyle w:val="6"/>
          <w:rFonts w:hint="eastAsia" w:ascii="仿宋" w:hAnsi="仿宋" w:eastAsia="仿宋" w:cs="仿宋"/>
          <w:bCs/>
          <w:color w:val="000000"/>
          <w:kern w:val="2"/>
          <w:sz w:val="32"/>
          <w:szCs w:val="32"/>
          <w:lang w:val="en-US" w:eastAsia="zh-CN" w:bidi="ar-SA"/>
        </w:rPr>
        <w:t>1.01</w:t>
      </w:r>
      <w:r>
        <w:rPr>
          <w:rStyle w:val="6"/>
          <w:rFonts w:ascii="仿宋" w:hAnsi="仿宋" w:eastAsia="仿宋" w:cs="仿宋"/>
          <w:bCs/>
          <w:color w:val="000000"/>
          <w:kern w:val="2"/>
          <w:sz w:val="32"/>
          <w:szCs w:val="32"/>
          <w:lang w:val="en-US" w:eastAsia="zh-CN" w:bidi="ar-SA"/>
        </w:rPr>
        <w:t>万元、工会经费</w:t>
      </w:r>
      <w:r>
        <w:rPr>
          <w:rStyle w:val="6"/>
          <w:rFonts w:hint="eastAsia" w:ascii="仿宋" w:hAnsi="仿宋" w:eastAsia="仿宋" w:cs="仿宋"/>
          <w:bCs/>
          <w:color w:val="000000"/>
          <w:kern w:val="2"/>
          <w:sz w:val="32"/>
          <w:szCs w:val="32"/>
          <w:lang w:val="en-US" w:eastAsia="zh-CN" w:bidi="ar-SA"/>
        </w:rPr>
        <w:t>2.54</w:t>
      </w:r>
      <w:r>
        <w:rPr>
          <w:rStyle w:val="6"/>
          <w:rFonts w:ascii="仿宋" w:hAnsi="仿宋" w:eastAsia="仿宋" w:cs="仿宋"/>
          <w:bCs/>
          <w:color w:val="000000"/>
          <w:kern w:val="2"/>
          <w:sz w:val="32"/>
          <w:szCs w:val="32"/>
          <w:lang w:val="en-US" w:eastAsia="zh-CN" w:bidi="ar-SA"/>
        </w:rPr>
        <w:t>万元、</w:t>
      </w:r>
      <w:r>
        <w:rPr>
          <w:rStyle w:val="6"/>
          <w:rFonts w:hint="eastAsia" w:ascii="仿宋" w:hAnsi="仿宋" w:eastAsia="仿宋" w:cs="仿宋"/>
          <w:bCs/>
          <w:color w:val="000000"/>
          <w:kern w:val="2"/>
          <w:sz w:val="32"/>
          <w:szCs w:val="32"/>
          <w:lang w:val="en-US" w:eastAsia="zh-CN" w:bidi="ar-SA"/>
        </w:rPr>
        <w:t>取暖费4.94万元。</w:t>
      </w:r>
      <w:r>
        <w:rPr>
          <w:rStyle w:val="6"/>
          <w:rFonts w:ascii="仿宋" w:hAnsi="仿宋" w:eastAsia="仿宋" w:cs="仿宋"/>
          <w:bCs/>
          <w:color w:val="000000"/>
          <w:kern w:val="2"/>
          <w:sz w:val="32"/>
          <w:szCs w:val="32"/>
          <w:lang w:val="en-US" w:eastAsia="zh-CN" w:bidi="ar-SA"/>
        </w:rPr>
        <w:t>在职职工福利费</w:t>
      </w:r>
      <w:r>
        <w:rPr>
          <w:rStyle w:val="6"/>
          <w:rFonts w:hint="eastAsia" w:ascii="仿宋" w:hAnsi="仿宋" w:eastAsia="仿宋" w:cs="仿宋"/>
          <w:bCs/>
          <w:color w:val="000000"/>
          <w:kern w:val="2"/>
          <w:sz w:val="32"/>
          <w:szCs w:val="32"/>
          <w:lang w:val="en-US" w:eastAsia="zh-CN" w:bidi="ar-SA"/>
        </w:rPr>
        <w:t>1.67</w:t>
      </w:r>
      <w:r>
        <w:rPr>
          <w:rStyle w:val="6"/>
          <w:rFonts w:ascii="仿宋" w:hAnsi="仿宋" w:eastAsia="仿宋" w:cs="仿宋"/>
          <w:bCs/>
          <w:color w:val="000000"/>
          <w:kern w:val="2"/>
          <w:sz w:val="32"/>
          <w:szCs w:val="32"/>
          <w:lang w:val="en-US" w:eastAsia="zh-CN" w:bidi="ar-SA"/>
        </w:rPr>
        <w:t>万元、其他商品和服务支出1.4</w:t>
      </w:r>
      <w:r>
        <w:rPr>
          <w:rStyle w:val="6"/>
          <w:rFonts w:hint="eastAsia" w:ascii="仿宋" w:hAnsi="仿宋" w:eastAsia="仿宋" w:cs="仿宋"/>
          <w:bCs/>
          <w:color w:val="000000"/>
          <w:kern w:val="2"/>
          <w:sz w:val="32"/>
          <w:szCs w:val="32"/>
          <w:lang w:val="en-US" w:eastAsia="zh-CN" w:bidi="ar-SA"/>
        </w:rPr>
        <w:t>9</w:t>
      </w:r>
      <w:r>
        <w:rPr>
          <w:rStyle w:val="6"/>
          <w:rFonts w:ascii="仿宋" w:hAnsi="仿宋" w:eastAsia="仿宋" w:cs="仿宋"/>
          <w:bCs/>
          <w:color w:val="000000"/>
          <w:kern w:val="2"/>
          <w:sz w:val="32"/>
          <w:szCs w:val="32"/>
          <w:lang w:val="en-US" w:eastAsia="zh-CN" w:bidi="ar-SA"/>
        </w:rPr>
        <w:t>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四、财政拨款“三公”经费预算情况及增减变化原因</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年，财政拨款“三公”经费预算安排0万元，与20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年相比无增减变化。其中：①因公出国（境）费0万元，与20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年相比无增减变化；②公务用车购置及运行费0万元，其中：公务用车购置费为0万元，与20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年相比无增减变化；公务用车运行费0万元，与20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年相比无增减变化；③公务接待费0万元，与20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年相比无增减变化。</w:t>
      </w: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五、绩效预算信息</w:t>
      </w:r>
    </w:p>
    <w:p>
      <w:pPr>
        <w:snapToGrid w:val="0"/>
        <w:spacing w:line="360" w:lineRule="auto"/>
        <w:ind w:firstLine="643" w:firstLineChars="200"/>
        <w:jc w:val="both"/>
        <w:textAlignment w:val="baseline"/>
        <w:rPr>
          <w:rStyle w:val="6"/>
          <w:rFonts w:ascii="仿宋" w:hAnsi="仿宋" w:eastAsia="仿宋"/>
          <w:b/>
          <w:kern w:val="2"/>
          <w:sz w:val="32"/>
          <w:szCs w:val="32"/>
          <w:lang w:val="en-US" w:eastAsia="zh-CN" w:bidi="ar-SA"/>
        </w:rPr>
      </w:pPr>
      <w:r>
        <w:rPr>
          <w:rStyle w:val="6"/>
          <w:rFonts w:ascii="仿宋" w:hAnsi="仿宋" w:eastAsia="仿宋"/>
          <w:b/>
          <w:kern w:val="2"/>
          <w:sz w:val="32"/>
          <w:szCs w:val="32"/>
          <w:lang w:val="en-US" w:eastAsia="zh-CN" w:bidi="ar-SA"/>
        </w:rPr>
        <w:t>第一部分 部门整体绩效目标</w:t>
      </w:r>
    </w:p>
    <w:p>
      <w:pPr>
        <w:snapToGrid w:val="0"/>
        <w:spacing w:line="360" w:lineRule="auto"/>
        <w:ind w:firstLine="640" w:firstLineChars="200"/>
        <w:jc w:val="both"/>
        <w:textAlignment w:val="baseline"/>
        <w:rPr>
          <w:rStyle w:val="6"/>
          <w:rFonts w:ascii="仿宋" w:hAnsi="仿宋" w:eastAsia="仿宋"/>
          <w:b/>
          <w:kern w:val="2"/>
          <w:sz w:val="32"/>
          <w:szCs w:val="32"/>
          <w:lang w:val="en-US" w:eastAsia="zh-CN" w:bidi="ar-SA"/>
        </w:rPr>
      </w:pPr>
      <w:r>
        <w:rPr>
          <w:rStyle w:val="6"/>
          <w:rFonts w:ascii="仿宋" w:hAnsi="仿宋" w:eastAsia="仿宋"/>
          <w:kern w:val="2"/>
          <w:sz w:val="32"/>
          <w:szCs w:val="32"/>
          <w:lang w:val="en-US" w:eastAsia="zh-CN" w:bidi="ar-SA"/>
        </w:rPr>
        <w:t>（一）总体绩效目标：坚持“打造品牌教育，建设教育强区”的发展战略，不断改善办学条件、着力提升教育质量。</w:t>
      </w:r>
    </w:p>
    <w:p>
      <w:pPr>
        <w:snapToGrid w:val="0"/>
        <w:spacing w:line="360" w:lineRule="auto"/>
        <w:ind w:firstLine="640" w:firstLineChars="200"/>
        <w:jc w:val="both"/>
        <w:textAlignment w:val="baseline"/>
        <w:rPr>
          <w:rStyle w:val="6"/>
          <w:rFonts w:ascii="仿宋" w:hAnsi="仿宋" w:eastAsia="仿宋"/>
          <w:b/>
          <w:kern w:val="2"/>
          <w:sz w:val="32"/>
          <w:szCs w:val="32"/>
          <w:lang w:val="en-US" w:eastAsia="zh-CN" w:bidi="ar-SA"/>
        </w:rPr>
      </w:pPr>
      <w:r>
        <w:rPr>
          <w:rStyle w:val="6"/>
          <w:rFonts w:ascii="仿宋" w:hAnsi="仿宋" w:eastAsia="仿宋"/>
          <w:kern w:val="2"/>
          <w:sz w:val="32"/>
          <w:szCs w:val="32"/>
          <w:lang w:val="en-US" w:eastAsia="zh-CN" w:bidi="ar-SA"/>
        </w:rPr>
        <w:t>（二）分项绩效目标：普及学前三年教育，扩大学前教育资源，缓解当前存在的“入园难”、“入园贵”问题。改善办园条件，落实学前教育资助制度。</w:t>
      </w:r>
    </w:p>
    <w:p>
      <w:pPr>
        <w:snapToGrid w:val="0"/>
        <w:spacing w:line="360" w:lineRule="auto"/>
        <w:ind w:firstLine="640" w:firstLineChars="200"/>
        <w:jc w:val="both"/>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（三）工作保障措施：制定年度工作计划，强化预算执行。</w:t>
      </w:r>
    </w:p>
    <w:p>
      <w:pPr>
        <w:snapToGrid w:val="0"/>
        <w:spacing w:line="360" w:lineRule="auto"/>
        <w:ind w:firstLine="643" w:firstLineChars="200"/>
        <w:jc w:val="both"/>
        <w:textAlignment w:val="baseline"/>
        <w:rPr>
          <w:rStyle w:val="6"/>
          <w:rFonts w:ascii="仿宋" w:hAnsi="仿宋" w:eastAsia="仿宋" w:cs="Times New Roman"/>
          <w:b/>
          <w:bCs/>
          <w:kern w:val="2"/>
          <w:sz w:val="32"/>
          <w:szCs w:val="32"/>
          <w:lang w:val="en-US" w:eastAsia="zh-CN" w:bidi="ar-SA"/>
        </w:rPr>
      </w:pPr>
      <w:r>
        <w:rPr>
          <w:rStyle w:val="6"/>
          <w:rFonts w:ascii="仿宋" w:hAnsi="仿宋" w:eastAsia="仿宋" w:cs="Times New Roman"/>
          <w:b/>
          <w:bCs/>
          <w:kern w:val="2"/>
          <w:sz w:val="32"/>
          <w:szCs w:val="32"/>
          <w:lang w:val="en-US" w:eastAsia="zh-CN" w:bidi="ar-SA"/>
        </w:rPr>
        <w:t>第二部分 专项资金绩效目标</w:t>
      </w:r>
    </w:p>
    <w:p>
      <w:pPr>
        <w:snapToGrid w:val="0"/>
        <w:spacing w:line="360" w:lineRule="auto"/>
        <w:ind w:firstLine="640" w:firstLineChars="200"/>
        <w:jc w:val="both"/>
        <w:textAlignment w:val="baseline"/>
        <w:rPr>
          <w:rStyle w:val="6"/>
          <w:rFonts w:ascii="仿宋" w:hAnsi="仿宋" w:eastAsia="仿宋"/>
          <w:kern w:val="2"/>
          <w:sz w:val="32"/>
          <w:szCs w:val="32"/>
          <w:lang w:val="en-US" w:eastAsia="zh-CN" w:bidi="ar-SA"/>
        </w:rPr>
      </w:pPr>
      <w:r>
        <w:rPr>
          <w:rStyle w:val="6"/>
          <w:rFonts w:ascii="仿宋" w:hAnsi="仿宋" w:eastAsia="仿宋"/>
          <w:kern w:val="2"/>
          <w:sz w:val="32"/>
          <w:szCs w:val="32"/>
          <w:lang w:val="en-US" w:eastAsia="zh-CN" w:bidi="ar-SA"/>
        </w:rPr>
        <w:t>202</w:t>
      </w:r>
      <w:r>
        <w:rPr>
          <w:rStyle w:val="6"/>
          <w:rFonts w:hint="eastAsia" w:ascii="仿宋" w:hAnsi="仿宋" w:eastAsia="仿宋"/>
          <w:kern w:val="2"/>
          <w:sz w:val="32"/>
          <w:szCs w:val="32"/>
          <w:lang w:val="en-US" w:eastAsia="zh-CN" w:bidi="ar-SA"/>
        </w:rPr>
        <w:t>1</w:t>
      </w:r>
      <w:r>
        <w:rPr>
          <w:rStyle w:val="6"/>
          <w:rFonts w:ascii="仿宋" w:hAnsi="仿宋" w:eastAsia="仿宋"/>
          <w:kern w:val="2"/>
          <w:sz w:val="32"/>
          <w:szCs w:val="32"/>
          <w:lang w:val="en-US" w:eastAsia="zh-CN" w:bidi="ar-SA"/>
        </w:rPr>
        <w:t>年我单位无专项资金绩效目标。</w:t>
      </w:r>
    </w:p>
    <w:p>
      <w:pPr>
        <w:snapToGrid w:val="0"/>
        <w:spacing w:line="360" w:lineRule="auto"/>
        <w:ind w:firstLine="643" w:firstLineChars="200"/>
        <w:jc w:val="both"/>
        <w:textAlignment w:val="baseline"/>
        <w:rPr>
          <w:rStyle w:val="6"/>
          <w:rFonts w:ascii="仿宋" w:hAnsi="仿宋" w:eastAsia="仿宋" w:cs="Times New Roman"/>
          <w:b/>
          <w:bCs/>
          <w:kern w:val="2"/>
          <w:sz w:val="32"/>
          <w:szCs w:val="32"/>
          <w:lang w:val="en-US" w:eastAsia="zh-CN" w:bidi="ar-SA"/>
        </w:rPr>
      </w:pPr>
      <w:r>
        <w:rPr>
          <w:rStyle w:val="6"/>
          <w:rFonts w:ascii="仿宋" w:hAnsi="仿宋" w:eastAsia="仿宋" w:cs="Times New Roman"/>
          <w:b/>
          <w:bCs/>
          <w:kern w:val="2"/>
          <w:sz w:val="32"/>
          <w:szCs w:val="32"/>
          <w:lang w:val="en-US" w:eastAsia="zh-CN" w:bidi="ar-SA"/>
        </w:rPr>
        <w:t>第三部分 预算项目绩效目标</w:t>
      </w: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outlineLvl w:val="3"/>
        <w:rPr>
          <w:rFonts w:ascii="Times New Roman" w:hAnsi="Times New Roman"/>
          <w:b/>
          <w:sz w:val="28"/>
        </w:rPr>
      </w:pPr>
      <w:bookmarkStart w:id="0" w:name="_Toc65800737"/>
      <w:r>
        <w:rPr>
          <w:rFonts w:hint="eastAsia" w:ascii="方正仿宋_GBK" w:eastAsia="方正仿宋_GBK"/>
          <w:b/>
          <w:sz w:val="28"/>
          <w:lang w:val="en-US" w:eastAsia="zh-CN"/>
        </w:rPr>
        <w:t>1</w:t>
      </w:r>
      <w:r>
        <w:rPr>
          <w:rFonts w:hint="eastAsia" w:ascii="方正仿宋_GBK" w:eastAsia="方正仿宋_GBK"/>
          <w:b/>
          <w:sz w:val="28"/>
        </w:rPr>
        <w:t>.劳务派遣人员工资及保险（劳务费）绩效目标表</w:t>
      </w:r>
      <w:bookmarkEnd w:id="0"/>
      <w:r>
        <w:rPr>
          <w:rFonts w:hint="eastAsia" w:ascii="方正仿宋_GBK" w:eastAsia="方正仿宋_GBK"/>
          <w:b/>
          <w:vanish/>
          <w:sz w:val="28"/>
        </w:rPr>
        <w:t>{ TC 473、劳务派遣人员工资及保险（劳务费）绩效目标表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方正书宋_GBK" w:eastAsia="方正书宋_GBK"/>
                <w:b/>
              </w:rPr>
            </w:pPr>
            <w:r>
              <w:rPr>
                <w:rFonts w:hint="eastAsia" w:ascii="方正书宋_GBK" w:eastAsia="方正书宋_GBK"/>
                <w:b/>
              </w:rPr>
              <w:t>401713唐山市丰南区大新庄镇寺坨小学附属园</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1.及时发放人员待遇，维护社会稳定。</w:t>
            </w:r>
          </w:p>
          <w:p>
            <w:pPr>
              <w:spacing w:line="300" w:lineRule="exact"/>
              <w:jc w:val="left"/>
              <w:rPr>
                <w:rFonts w:hint="eastAsia" w:ascii="方正书宋_GBK" w:eastAsia="方正书宋_GBK"/>
              </w:rPr>
            </w:pPr>
            <w:r>
              <w:rPr>
                <w:rFonts w:hint="eastAsia" w:ascii="方正书宋_GBK" w:eastAsia="方正书宋_GBK"/>
              </w:rPr>
              <w:t>2.改善职工生活水平。</w:t>
            </w:r>
          </w:p>
          <w:p>
            <w:pPr>
              <w:spacing w:line="300" w:lineRule="exact"/>
              <w:jc w:val="left"/>
              <w:rPr>
                <w:rFonts w:hint="eastAsia" w:ascii="方正书宋_GBK" w:eastAsia="方正书宋_GBK"/>
              </w:rPr>
            </w:pPr>
            <w:r>
              <w:rPr>
                <w:rFonts w:hint="eastAsia" w:ascii="方正书宋_GBK" w:eastAsia="方正书宋_GBK"/>
              </w:rPr>
              <w:t>3.调动职工工作积极性</w:t>
            </w:r>
          </w:p>
        </w:tc>
      </w:tr>
    </w:tbl>
    <w:p>
      <w:pPr>
        <w:spacing w:line="14" w:lineRule="exact"/>
        <w:jc w:val="center"/>
        <w:rPr>
          <w:rFonts w:ascii="Times New Roman" w:hAnsi="Times New Roman"/>
        </w:rPr>
      </w:pPr>
      <w:r>
        <w:rPr>
          <w:rFonts w:hint="eastAsia" w:ascii="方正书宋_GBK" w:eastAsia="方正书宋_GBK"/>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一级指标</w:t>
            </w:r>
          </w:p>
        </w:tc>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二级指标</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三级指标</w:t>
            </w:r>
          </w:p>
        </w:tc>
        <w:tc>
          <w:tcPr>
            <w:tcW w:w="289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绩效指标描述</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w:t>
            </w:r>
          </w:p>
        </w:tc>
        <w:tc>
          <w:tcPr>
            <w:tcW w:w="170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产出指标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数量指标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劳务派遣人员数量</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聘用的劳务派遣人数</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11人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工资发放%准确率</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工资发放准确程度</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100%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工资发放情况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劳务派遣人员月最低工资标准</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执行的劳务派遣人员月工资标准</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≥1900元/月，人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安排就业人数</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解决就业人数，缓解就业压力</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11人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实际劳务派遣人员情况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工资消费贡献率</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工资收入的消费能力</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≥50%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实际消费水平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保障事业发展</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保障各项工作正常运转</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维护教育稳定，促进教育发展</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单位运转情况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劳务派遣人员满意度</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劳务派遣人员对工资待遇的满意度</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≥95%</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bl>
    <w:p>
      <w:pPr>
        <w:spacing w:line="300" w:lineRule="exact"/>
        <w:jc w:val="left"/>
        <w:sectPr>
          <w:pgSz w:w="11907" w:h="16839"/>
          <w:pgMar w:top="1984" w:right="1304" w:bottom="1134" w:left="1304" w:header="851" w:footer="992" w:gutter="0"/>
          <w:cols w:space="720" w:num="1"/>
          <w:docGrid w:type="lines" w:linePitch="312" w:charSpace="0"/>
        </w:sectPr>
      </w:pPr>
    </w:p>
    <w:p>
      <w:pPr>
        <w:ind w:firstLine="562" w:firstLineChars="200"/>
        <w:jc w:val="left"/>
        <w:outlineLvl w:val="3"/>
        <w:rPr>
          <w:rFonts w:ascii="Times New Roman" w:hAnsi="Times New Roman"/>
          <w:b/>
          <w:sz w:val="28"/>
        </w:rPr>
      </w:pPr>
      <w:bookmarkStart w:id="1" w:name="_Toc65800738"/>
      <w:r>
        <w:rPr>
          <w:rFonts w:hint="eastAsia" w:ascii="方正仿宋_GBK" w:eastAsia="方正仿宋_GBK"/>
          <w:b/>
          <w:sz w:val="28"/>
          <w:lang w:val="en-US" w:eastAsia="zh-CN"/>
        </w:rPr>
        <w:t>2</w:t>
      </w:r>
      <w:r>
        <w:rPr>
          <w:rFonts w:hint="eastAsia" w:ascii="方正仿宋_GBK" w:eastAsia="方正仿宋_GBK"/>
          <w:b/>
          <w:sz w:val="28"/>
        </w:rPr>
        <w:t>.学前教育生均公用经费（资助）绩效目标表</w:t>
      </w:r>
      <w:bookmarkEnd w:id="1"/>
      <w:r>
        <w:rPr>
          <w:rFonts w:hint="eastAsia" w:ascii="方正仿宋_GBK" w:eastAsia="方正仿宋_GBK"/>
          <w:b/>
          <w:vanish/>
          <w:sz w:val="28"/>
        </w:rPr>
        <w:t>{ TC 474、学前教育生均公用经费（资助）绩效目标表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方正书宋_GBK" w:eastAsia="方正书宋_GBK"/>
                <w:b/>
              </w:rPr>
            </w:pPr>
            <w:r>
              <w:rPr>
                <w:rFonts w:hint="eastAsia" w:ascii="方正书宋_GBK" w:eastAsia="方正书宋_GBK"/>
                <w:b/>
              </w:rPr>
              <w:t>401713唐山市丰南区大新庄镇寺坨小学附属园</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1.保障学校日常工作的正常开展。</w:t>
            </w:r>
          </w:p>
          <w:p>
            <w:pPr>
              <w:spacing w:line="300" w:lineRule="exact"/>
              <w:jc w:val="left"/>
              <w:rPr>
                <w:rFonts w:hint="eastAsia" w:ascii="方正书宋_GBK" w:eastAsia="方正书宋_GBK"/>
              </w:rPr>
            </w:pPr>
            <w:r>
              <w:rPr>
                <w:rFonts w:hint="eastAsia" w:ascii="方正书宋_GBK" w:eastAsia="方正书宋_GBK"/>
              </w:rPr>
              <w:t>2.改善办学条件，促进教育事业发展。</w:t>
            </w:r>
          </w:p>
          <w:p>
            <w:pPr>
              <w:spacing w:line="300" w:lineRule="exact"/>
              <w:jc w:val="left"/>
              <w:rPr>
                <w:rFonts w:hint="eastAsia" w:ascii="方正书宋_GBK" w:eastAsia="方正书宋_GBK"/>
              </w:rPr>
            </w:pPr>
            <w:r>
              <w:rPr>
                <w:rFonts w:hint="eastAsia" w:ascii="方正书宋_GBK" w:eastAsia="方正书宋_GBK"/>
              </w:rPr>
              <w:t>3.保障校园安全，增强学生核心素养。</w:t>
            </w:r>
          </w:p>
        </w:tc>
      </w:tr>
    </w:tbl>
    <w:p>
      <w:pPr>
        <w:spacing w:line="14" w:lineRule="exact"/>
        <w:jc w:val="center"/>
        <w:rPr>
          <w:rFonts w:ascii="Times New Roman" w:hAnsi="Times New Roman"/>
        </w:rPr>
      </w:pPr>
      <w:r>
        <w:rPr>
          <w:rFonts w:hint="eastAsia" w:ascii="方正书宋_GBK" w:eastAsia="方正书宋_GBK"/>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一级指标</w:t>
            </w:r>
          </w:p>
        </w:tc>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二级指标</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三级指标</w:t>
            </w:r>
          </w:p>
        </w:tc>
        <w:tc>
          <w:tcPr>
            <w:tcW w:w="289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绩效指标描述</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w:t>
            </w:r>
          </w:p>
        </w:tc>
        <w:tc>
          <w:tcPr>
            <w:tcW w:w="170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产出指标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数量指标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在校学生数</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在校学生人数</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120人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年度学生统计数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学校工作开展情况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学校工作开展情况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教育教学秩序井然，校园全无事故</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生均公用经费标准</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生均公用经费标准</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≥400生/年</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对学校的影响</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对学校的影响</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校园环境不断改善</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学生身心健康情况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学生身心健康情况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学生德智体全面发展</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教育质量提升情况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教育质量提升情况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教育质量不断提高，办学水平不断改善</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社会公众满意度（%）</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反映较好人数与受调查人数之比</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≥90%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bl>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ind w:firstLine="200"/>
        <w:jc w:val="left"/>
        <w:textAlignment w:val="baseline"/>
        <w:rPr>
          <w:rStyle w:val="6"/>
          <w:rFonts w:ascii="方正仿宋_GBK" w:hAnsi="Calibri" w:eastAsia="方正仿宋_GBK"/>
          <w:b/>
          <w:kern w:val="2"/>
          <w:sz w:val="28"/>
          <w:szCs w:val="22"/>
          <w:lang w:val="en-US" w:eastAsia="zh-CN" w:bidi="ar-SA"/>
        </w:rPr>
      </w:pPr>
    </w:p>
    <w:p>
      <w:pPr>
        <w:ind w:firstLine="200"/>
        <w:jc w:val="left"/>
        <w:textAlignment w:val="baseline"/>
        <w:rPr>
          <w:rStyle w:val="6"/>
          <w:rFonts w:ascii="方正仿宋_GBK" w:hAnsi="Calibri" w:eastAsia="方正仿宋_GBK"/>
          <w:b/>
          <w:kern w:val="2"/>
          <w:sz w:val="28"/>
          <w:szCs w:val="22"/>
          <w:lang w:val="en-US" w:eastAsia="zh-CN" w:bidi="ar-SA"/>
        </w:rPr>
      </w:pPr>
    </w:p>
    <w:p>
      <w:pPr>
        <w:ind w:firstLine="200"/>
        <w:jc w:val="left"/>
        <w:textAlignment w:val="baseline"/>
        <w:rPr>
          <w:rStyle w:val="6"/>
          <w:rFonts w:ascii="方正仿宋_GBK" w:hAnsi="Calibri" w:eastAsia="方正仿宋_GBK"/>
          <w:b/>
          <w:kern w:val="2"/>
          <w:sz w:val="28"/>
          <w:szCs w:val="22"/>
          <w:lang w:val="en-US" w:eastAsia="zh-CN" w:bidi="ar-SA"/>
        </w:rPr>
      </w:pPr>
    </w:p>
    <w:p>
      <w:pPr>
        <w:ind w:firstLine="562" w:firstLineChars="200"/>
        <w:jc w:val="left"/>
        <w:outlineLvl w:val="3"/>
        <w:rPr>
          <w:rFonts w:ascii="Times New Roman" w:hAnsi="Times New Roman"/>
          <w:b/>
          <w:sz w:val="28"/>
        </w:rPr>
      </w:pPr>
      <w:bookmarkStart w:id="2" w:name="_Toc65800769"/>
      <w:r>
        <w:rPr>
          <w:rFonts w:hint="eastAsia" w:ascii="方正仿宋_GBK" w:eastAsia="方正仿宋_GBK"/>
          <w:b/>
          <w:sz w:val="28"/>
          <w:lang w:val="en-US" w:eastAsia="zh-CN"/>
        </w:rPr>
        <w:t>3</w:t>
      </w:r>
      <w:r>
        <w:rPr>
          <w:rFonts w:hint="eastAsia" w:ascii="方正仿宋_GBK" w:eastAsia="方正仿宋_GBK"/>
          <w:b/>
          <w:sz w:val="28"/>
        </w:rPr>
        <w:t>.义务教育生均公用经费（本级）绩效目标表</w:t>
      </w:r>
      <w:bookmarkEnd w:id="2"/>
      <w:r>
        <w:rPr>
          <w:rFonts w:hint="eastAsia" w:ascii="方正仿宋_GBK" w:eastAsia="方正仿宋_GBK"/>
          <w:b/>
          <w:vanish/>
          <w:sz w:val="28"/>
        </w:rPr>
        <w:t>{ TC 505、义务教育生均公用经费（本级）绩效目标表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方正书宋_GBK" w:eastAsia="方正书宋_GBK"/>
                <w:b/>
              </w:rPr>
            </w:pPr>
            <w:r>
              <w:rPr>
                <w:rFonts w:hint="eastAsia" w:ascii="方正书宋_GBK" w:eastAsia="方正书宋_GBK"/>
                <w:b/>
              </w:rPr>
              <w:t>401723唐山市丰南区大新庄镇寺坨小学</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1.保障学校日常工作的正常开展。</w:t>
            </w:r>
          </w:p>
          <w:p>
            <w:pPr>
              <w:spacing w:line="300" w:lineRule="exact"/>
              <w:jc w:val="left"/>
              <w:rPr>
                <w:rFonts w:hint="eastAsia" w:ascii="方正书宋_GBK" w:eastAsia="方正书宋_GBK"/>
              </w:rPr>
            </w:pPr>
            <w:r>
              <w:rPr>
                <w:rFonts w:hint="eastAsia" w:ascii="方正书宋_GBK" w:eastAsia="方正书宋_GBK"/>
              </w:rPr>
              <w:t>2.改善办学条件，促进教育事业发展。</w:t>
            </w:r>
          </w:p>
          <w:p>
            <w:pPr>
              <w:spacing w:line="300" w:lineRule="exact"/>
              <w:jc w:val="left"/>
              <w:rPr>
                <w:rFonts w:hint="eastAsia" w:ascii="方正书宋_GBK" w:eastAsia="方正书宋_GBK"/>
              </w:rPr>
            </w:pPr>
            <w:r>
              <w:rPr>
                <w:rFonts w:hint="eastAsia" w:ascii="方正书宋_GBK" w:eastAsia="方正书宋_GBK"/>
              </w:rPr>
              <w:t>3.保障校园安全，增强学生核心素养。</w:t>
            </w:r>
          </w:p>
        </w:tc>
      </w:tr>
    </w:tbl>
    <w:p>
      <w:pPr>
        <w:spacing w:line="14" w:lineRule="exact"/>
        <w:jc w:val="center"/>
        <w:rPr>
          <w:rFonts w:ascii="Times New Roman" w:hAnsi="Times New Roman"/>
        </w:rPr>
      </w:pPr>
      <w:r>
        <w:rPr>
          <w:rFonts w:hint="eastAsia" w:ascii="方正书宋_GBK" w:eastAsia="方正书宋_GBK"/>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一级指标</w:t>
            </w:r>
          </w:p>
        </w:tc>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二级指标</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三级指标</w:t>
            </w:r>
          </w:p>
        </w:tc>
        <w:tc>
          <w:tcPr>
            <w:tcW w:w="289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绩效指标描述</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w:t>
            </w:r>
          </w:p>
        </w:tc>
        <w:tc>
          <w:tcPr>
            <w:tcW w:w="170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产出指标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数量指标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在校学生数</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在校学生人数</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221人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年度学生统计数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学校工作开展情况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学校工作开展情况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教育教学秩序井然，校园全无事故</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生均公用经费标准</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生均公用经费标准</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≥650生/年</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对学校的影响</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对学校的影响</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校园环境不断改善</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学生身心健康情况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学生身心健康情况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学生德智体全面发展</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教育质量提升情况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教育质量提升情况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教育质量不断提高，办学水平不断改善</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社会公众满意度（%）</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反映较好人数与受调查人数之比</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≥90%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bl>
    <w:p>
      <w:pPr>
        <w:spacing w:line="300" w:lineRule="exact"/>
        <w:jc w:val="left"/>
        <w:textAlignment w:val="baseline"/>
        <w:rPr>
          <w:rStyle w:val="6"/>
          <w:rFonts w:ascii="Calibri" w:hAnsi="Calibri"/>
          <w:kern w:val="2"/>
          <w:sz w:val="21"/>
          <w:szCs w:val="22"/>
          <w:lang w:val="en-US" w:eastAsia="zh-CN" w:bidi="ar-SA"/>
        </w:rPr>
      </w:pPr>
    </w:p>
    <w:p>
      <w:pPr>
        <w:spacing w:line="300" w:lineRule="exact"/>
        <w:jc w:val="left"/>
        <w:textAlignment w:val="baseline"/>
        <w:rPr>
          <w:rStyle w:val="6"/>
          <w:rFonts w:ascii="Calibri" w:hAnsi="Calibri"/>
          <w:kern w:val="2"/>
          <w:sz w:val="21"/>
          <w:szCs w:val="22"/>
          <w:lang w:val="en-US" w:eastAsia="zh-CN" w:bidi="ar-SA"/>
        </w:rPr>
        <w:sectPr>
          <w:pgSz w:w="11907" w:h="16839"/>
          <w:pgMar w:top="1984" w:right="1304" w:bottom="1134" w:left="1304" w:header="851" w:footer="992" w:gutter="0"/>
          <w:lnNumType w:countBy="0"/>
          <w:cols w:space="425" w:num="1"/>
          <w:vAlign w:val="top"/>
          <w:docGrid w:type="lines" w:linePitch="312" w:charSpace="0"/>
        </w:sectPr>
      </w:pPr>
    </w:p>
    <w:p>
      <w:pPr>
        <w:jc w:val="left"/>
        <w:outlineLvl w:val="3"/>
        <w:rPr>
          <w:rFonts w:ascii="Times New Roman" w:hAnsi="Times New Roman"/>
          <w:b/>
          <w:sz w:val="28"/>
        </w:rPr>
      </w:pPr>
      <w:bookmarkStart w:id="3" w:name="_Toc65800770"/>
      <w:r>
        <w:rPr>
          <w:rFonts w:hint="eastAsia" w:ascii="方正仿宋_GBK" w:eastAsia="方正仿宋_GBK"/>
          <w:b/>
          <w:sz w:val="28"/>
          <w:lang w:val="en-US" w:eastAsia="zh-CN"/>
        </w:rPr>
        <w:t>4</w:t>
      </w:r>
      <w:r>
        <w:rPr>
          <w:rFonts w:hint="eastAsia" w:ascii="方正仿宋_GBK" w:eastAsia="方正仿宋_GBK"/>
          <w:b/>
          <w:sz w:val="28"/>
        </w:rPr>
        <w:t>.劳务派遣人员工资及保险（劳务费）绩效目标表</w:t>
      </w:r>
      <w:bookmarkEnd w:id="3"/>
      <w:r>
        <w:rPr>
          <w:rFonts w:hint="eastAsia" w:ascii="方正仿宋_GBK" w:eastAsia="方正仿宋_GBK"/>
          <w:b/>
          <w:vanish/>
          <w:sz w:val="28"/>
        </w:rPr>
        <w:t>{ TC 506、劳务派遣人员工资及保险（劳务费）绩效目标表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方正书宋_GBK" w:eastAsia="方正书宋_GBK"/>
                <w:b/>
              </w:rPr>
            </w:pPr>
            <w:r>
              <w:rPr>
                <w:rFonts w:hint="eastAsia" w:ascii="方正书宋_GBK" w:eastAsia="方正书宋_GBK"/>
                <w:b/>
              </w:rPr>
              <w:t>401723唐山市丰南区大新庄镇寺坨小学</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1.及时发放人员待遇，维护社会稳定。</w:t>
            </w:r>
          </w:p>
          <w:p>
            <w:pPr>
              <w:spacing w:line="300" w:lineRule="exact"/>
              <w:jc w:val="left"/>
              <w:rPr>
                <w:rFonts w:hint="eastAsia" w:ascii="方正书宋_GBK" w:eastAsia="方正书宋_GBK"/>
              </w:rPr>
            </w:pPr>
            <w:r>
              <w:rPr>
                <w:rFonts w:hint="eastAsia" w:ascii="方正书宋_GBK" w:eastAsia="方正书宋_GBK"/>
              </w:rPr>
              <w:t>2.改善职工生活水平。</w:t>
            </w:r>
          </w:p>
          <w:p>
            <w:pPr>
              <w:spacing w:line="300" w:lineRule="exact"/>
              <w:jc w:val="left"/>
              <w:rPr>
                <w:rFonts w:hint="eastAsia" w:ascii="方正书宋_GBK" w:eastAsia="方正书宋_GBK"/>
              </w:rPr>
            </w:pPr>
            <w:r>
              <w:rPr>
                <w:rFonts w:hint="eastAsia" w:ascii="方正书宋_GBK" w:eastAsia="方正书宋_GBK"/>
              </w:rPr>
              <w:t>3.调动职工工作积极性</w:t>
            </w:r>
          </w:p>
        </w:tc>
      </w:tr>
    </w:tbl>
    <w:p>
      <w:pPr>
        <w:spacing w:line="14" w:lineRule="exact"/>
        <w:jc w:val="center"/>
        <w:rPr>
          <w:rFonts w:ascii="Times New Roman" w:hAnsi="Times New Roman"/>
        </w:rPr>
      </w:pPr>
      <w:r>
        <w:rPr>
          <w:rFonts w:hint="eastAsia" w:ascii="方正书宋_GBK" w:eastAsia="方正书宋_GBK"/>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一级指标</w:t>
            </w:r>
          </w:p>
        </w:tc>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二级指标</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三级指标</w:t>
            </w:r>
          </w:p>
        </w:tc>
        <w:tc>
          <w:tcPr>
            <w:tcW w:w="289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绩效指标描述</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w:t>
            </w:r>
          </w:p>
        </w:tc>
        <w:tc>
          <w:tcPr>
            <w:tcW w:w="170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产出指标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数量指标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劳务派遣人员数量</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聘用的劳务派遣人数</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4人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工资发放准确率</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工资发放准确程度</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100%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工资发放情况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劳务派遣人员月最低工资标准</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执行的劳务派遣人员月工资标准</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≥1900元/月，人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安排就业人数</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解决就业人数，缓解就业压力</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4人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实际劳务派遣人员情况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工资消费贡献率</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工资收入的消费能力</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≥50%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实际消费水平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保障事业发展</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保障各项工作正常运转</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维护教育稳定，促进教育发展</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单位运转情况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劳务派遣人员满意度</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劳务派遣人员对工资待遇的满意度</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≥95%</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bl>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textAlignment w:val="baseline"/>
        <w:rPr>
          <w:rStyle w:val="6"/>
          <w:rFonts w:ascii="方正仿宋_GBK" w:hAnsi="Calibri" w:eastAsia="方正仿宋_GBK"/>
          <w:b/>
          <w:kern w:val="2"/>
          <w:sz w:val="28"/>
          <w:szCs w:val="22"/>
          <w:lang w:val="en-US" w:eastAsia="zh-CN" w:bidi="ar-SA"/>
        </w:rPr>
      </w:pPr>
    </w:p>
    <w:p>
      <w:pPr>
        <w:jc w:val="left"/>
        <w:outlineLvl w:val="3"/>
        <w:rPr>
          <w:rFonts w:ascii="Times New Roman" w:hAnsi="Times New Roman"/>
          <w:b/>
          <w:sz w:val="28"/>
        </w:rPr>
      </w:pPr>
      <w:bookmarkStart w:id="4" w:name="_Toc65800771"/>
      <w:r>
        <w:rPr>
          <w:rFonts w:hint="eastAsia" w:ascii="方正仿宋_GBK" w:eastAsia="方正仿宋_GBK"/>
          <w:b/>
          <w:sz w:val="28"/>
          <w:lang w:val="en-US" w:eastAsia="zh-CN"/>
        </w:rPr>
        <w:t>5</w:t>
      </w:r>
      <w:r>
        <w:rPr>
          <w:rFonts w:hint="eastAsia" w:ascii="方正仿宋_GBK" w:eastAsia="方正仿宋_GBK"/>
          <w:b/>
          <w:sz w:val="28"/>
        </w:rPr>
        <w:t>.义务教育生均公用经费-01中央直达资金（唐财教[2020]106号）绩效目标表</w:t>
      </w:r>
      <w:bookmarkEnd w:id="4"/>
      <w:r>
        <w:rPr>
          <w:rFonts w:hint="eastAsia" w:ascii="方正仿宋_GBK" w:eastAsia="方正仿宋_GBK"/>
          <w:b/>
          <w:vanish/>
          <w:sz w:val="28"/>
        </w:rPr>
        <w:t>{ TC 507、义务教育生均公用经费-01中央直达资金（唐财教[2020]106号）绩效目标表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方正书宋_GBK" w:eastAsia="方正书宋_GBK"/>
                <w:b/>
              </w:rPr>
            </w:pPr>
            <w:r>
              <w:rPr>
                <w:rFonts w:hint="eastAsia" w:ascii="方正书宋_GBK" w:eastAsia="方正书宋_GBK"/>
                <w:b/>
              </w:rPr>
              <w:t>401723唐山市丰南区大新庄镇寺坨小学</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1.保障学校日常工作的正常开展。</w:t>
            </w:r>
          </w:p>
          <w:p>
            <w:pPr>
              <w:spacing w:line="300" w:lineRule="exact"/>
              <w:jc w:val="left"/>
              <w:rPr>
                <w:rFonts w:hint="eastAsia" w:ascii="方正书宋_GBK" w:eastAsia="方正书宋_GBK"/>
              </w:rPr>
            </w:pPr>
            <w:r>
              <w:rPr>
                <w:rFonts w:hint="eastAsia" w:ascii="方正书宋_GBK" w:eastAsia="方正书宋_GBK"/>
              </w:rPr>
              <w:t>2.改善办学条件，促进教育事业发展。</w:t>
            </w:r>
          </w:p>
          <w:p>
            <w:pPr>
              <w:spacing w:line="300" w:lineRule="exact"/>
              <w:jc w:val="left"/>
              <w:rPr>
                <w:rFonts w:hint="eastAsia" w:ascii="方正书宋_GBK" w:eastAsia="方正书宋_GBK"/>
              </w:rPr>
            </w:pPr>
            <w:r>
              <w:rPr>
                <w:rFonts w:hint="eastAsia" w:ascii="方正书宋_GBK" w:eastAsia="方正书宋_GBK"/>
              </w:rPr>
              <w:t>3.保障校园安全，增强学生核心素养。</w:t>
            </w:r>
          </w:p>
        </w:tc>
      </w:tr>
    </w:tbl>
    <w:p>
      <w:pPr>
        <w:spacing w:line="14" w:lineRule="exact"/>
        <w:jc w:val="center"/>
        <w:rPr>
          <w:rFonts w:ascii="Times New Roman" w:hAnsi="Times New Roman"/>
        </w:rPr>
      </w:pPr>
      <w:r>
        <w:rPr>
          <w:rFonts w:hint="eastAsia" w:ascii="方正书宋_GBK" w:eastAsia="方正书宋_GBK"/>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一级指标</w:t>
            </w:r>
          </w:p>
        </w:tc>
        <w:tc>
          <w:tcPr>
            <w:tcW w:w="1134"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二级指标</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三级指标</w:t>
            </w:r>
          </w:p>
        </w:tc>
        <w:tc>
          <w:tcPr>
            <w:tcW w:w="289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绩效指标描述</w:t>
            </w:r>
          </w:p>
        </w:tc>
        <w:tc>
          <w:tcPr>
            <w:tcW w:w="1276"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w:t>
            </w:r>
          </w:p>
        </w:tc>
        <w:tc>
          <w:tcPr>
            <w:tcW w:w="1701"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产出指标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数量指标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在校学生数</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在校学生人数</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221人</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年度学生统计数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学校工作开展情况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学校工作开展情况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教育教学秩序井然，校园全无事故</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生均公用经费标准</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生均公用经费标准</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≥650生/年</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对学校的影响</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对学校的影响</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校园环境不断改善</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学生身心健康情况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学生身心健康情况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学生德智体全面发展</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教育质量提升情况</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教育质量提升情况</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教育质量不断提高，办学水平不断改善</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113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社会公众满意度（%）</w:t>
            </w:r>
          </w:p>
        </w:tc>
        <w:tc>
          <w:tcPr>
            <w:tcW w:w="289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反映较好人数与受调查人数之比</w:t>
            </w:r>
          </w:p>
        </w:tc>
        <w:tc>
          <w:tcPr>
            <w:tcW w:w="1276"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≥90%</w:t>
            </w:r>
          </w:p>
        </w:tc>
        <w:tc>
          <w:tcPr>
            <w:tcW w:w="170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调查问卷</w:t>
            </w:r>
          </w:p>
        </w:tc>
      </w:tr>
    </w:tbl>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六、政府采购预算情况</w:t>
      </w:r>
    </w:p>
    <w:p>
      <w:pPr>
        <w:snapToGrid w:val="0"/>
        <w:spacing w:line="360" w:lineRule="auto"/>
        <w:ind w:firstLine="640" w:firstLineChars="200"/>
        <w:jc w:val="both"/>
        <w:textAlignment w:val="baseline"/>
        <w:rPr>
          <w:rStyle w:val="6"/>
          <w:rFonts w:hint="default" w:ascii="仿宋" w:hAnsi="仿宋" w:eastAsia="仿宋" w:cs="仿宋"/>
          <w:bCs/>
          <w:color w:val="000000"/>
          <w:kern w:val="2"/>
          <w:sz w:val="32"/>
          <w:szCs w:val="32"/>
          <w:lang w:val="en-US" w:eastAsia="zh-CN" w:bidi="ar-SA"/>
        </w:rPr>
      </w:pPr>
      <w:r>
        <w:rPr>
          <w:rStyle w:val="6"/>
          <w:rFonts w:hint="eastAsia" w:ascii="仿宋" w:hAnsi="仿宋" w:eastAsia="仿宋" w:cs="仿宋"/>
          <w:bCs/>
          <w:color w:val="000000"/>
          <w:kern w:val="2"/>
          <w:sz w:val="32"/>
          <w:szCs w:val="32"/>
          <w:lang w:val="en-US" w:eastAsia="zh-CN" w:bidi="ar-SA"/>
        </w:rPr>
        <w:t>2021年此项目无数据</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七、国有资产信息</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我单位20</w:t>
      </w:r>
      <w:r>
        <w:rPr>
          <w:rStyle w:val="6"/>
          <w:rFonts w:hint="eastAsia" w:ascii="仿宋" w:hAnsi="仿宋" w:eastAsia="仿宋" w:cs="仿宋"/>
          <w:bCs/>
          <w:color w:val="000000"/>
          <w:kern w:val="2"/>
          <w:sz w:val="32"/>
          <w:szCs w:val="32"/>
          <w:lang w:val="en-US" w:eastAsia="zh-CN" w:bidi="ar-SA"/>
        </w:rPr>
        <w:t>20</w:t>
      </w:r>
      <w:r>
        <w:rPr>
          <w:rStyle w:val="6"/>
          <w:rFonts w:ascii="仿宋" w:hAnsi="仿宋" w:eastAsia="仿宋" w:cs="仿宋"/>
          <w:bCs/>
          <w:color w:val="000000"/>
          <w:kern w:val="2"/>
          <w:sz w:val="32"/>
          <w:szCs w:val="32"/>
          <w:lang w:val="en-US" w:eastAsia="zh-CN" w:bidi="ar-SA"/>
        </w:rPr>
        <w:t>年底固定资产6</w:t>
      </w:r>
      <w:r>
        <w:rPr>
          <w:rStyle w:val="6"/>
          <w:rFonts w:hint="eastAsia" w:ascii="仿宋" w:hAnsi="仿宋" w:eastAsia="仿宋" w:cs="仿宋"/>
          <w:bCs/>
          <w:color w:val="000000"/>
          <w:kern w:val="2"/>
          <w:sz w:val="32"/>
          <w:szCs w:val="32"/>
          <w:lang w:val="en-US" w:eastAsia="zh-CN" w:bidi="ar-SA"/>
        </w:rPr>
        <w:t>23.67</w:t>
      </w:r>
      <w:r>
        <w:rPr>
          <w:rStyle w:val="6"/>
          <w:rFonts w:ascii="仿宋" w:hAnsi="仿宋" w:eastAsia="仿宋" w:cs="仿宋"/>
          <w:bCs/>
          <w:color w:val="000000"/>
          <w:kern w:val="2"/>
          <w:sz w:val="32"/>
          <w:szCs w:val="32"/>
          <w:lang w:val="en-US" w:eastAsia="zh-CN" w:bidi="ar-SA"/>
        </w:rPr>
        <w:t>万元，其中房屋1860平方米，总价值362.84万元；</w:t>
      </w:r>
      <w:r>
        <w:rPr>
          <w:rFonts w:hint="eastAsia" w:ascii="仿宋" w:hAnsi="仿宋" w:eastAsia="仿宋" w:cs="仿宋"/>
          <w:bCs/>
          <w:color w:val="000000"/>
          <w:sz w:val="32"/>
          <w:szCs w:val="32"/>
        </w:rPr>
        <w:t>车辆 0台，总价值 0 万元；单价20万元以上大型设备0台，总价值0万元；</w:t>
      </w:r>
      <w:r>
        <w:rPr>
          <w:rStyle w:val="6"/>
          <w:rFonts w:ascii="仿宋" w:hAnsi="仿宋" w:eastAsia="仿宋" w:cs="仿宋"/>
          <w:bCs/>
          <w:color w:val="000000"/>
          <w:kern w:val="2"/>
          <w:sz w:val="32"/>
          <w:szCs w:val="32"/>
          <w:lang w:val="en-US" w:eastAsia="zh-CN" w:bidi="ar-SA"/>
        </w:rPr>
        <w:t>其他固定资产</w:t>
      </w:r>
      <w:r>
        <w:rPr>
          <w:rStyle w:val="6"/>
          <w:rFonts w:hint="eastAsia" w:ascii="仿宋" w:hAnsi="仿宋" w:eastAsia="仿宋" w:cs="仿宋"/>
          <w:bCs/>
          <w:color w:val="000000"/>
          <w:kern w:val="2"/>
          <w:sz w:val="32"/>
          <w:szCs w:val="32"/>
          <w:lang w:val="en-US" w:eastAsia="zh-CN" w:bidi="ar-SA"/>
        </w:rPr>
        <w:t>260.83</w:t>
      </w:r>
      <w:r>
        <w:rPr>
          <w:rStyle w:val="6"/>
          <w:rFonts w:ascii="仿宋" w:hAnsi="仿宋" w:eastAsia="仿宋" w:cs="仿宋"/>
          <w:bCs/>
          <w:color w:val="000000"/>
          <w:kern w:val="2"/>
          <w:sz w:val="32"/>
          <w:szCs w:val="32"/>
          <w:lang w:val="en-US" w:eastAsia="zh-CN" w:bidi="ar-SA"/>
        </w:rPr>
        <w:t>万元。</w:t>
      </w:r>
    </w:p>
    <w:p>
      <w:pPr>
        <w:snapToGrid w:val="0"/>
        <w:spacing w:line="560" w:lineRule="exact"/>
        <w:ind w:firstLine="643" w:firstLineChars="200"/>
        <w:jc w:val="center"/>
        <w:textAlignment w:val="baseline"/>
        <w:rPr>
          <w:rStyle w:val="6"/>
          <w:rFonts w:ascii="仿宋" w:hAnsi="仿宋" w:eastAsia="仿宋"/>
          <w:b/>
          <w:color w:val="000000"/>
          <w:kern w:val="2"/>
          <w:sz w:val="32"/>
          <w:szCs w:val="32"/>
          <w:lang w:val="en-US" w:eastAsia="zh-CN" w:bidi="ar-SA"/>
        </w:rPr>
      </w:pPr>
      <w:r>
        <w:rPr>
          <w:rStyle w:val="6"/>
          <w:rFonts w:ascii="仿宋" w:hAnsi="仿宋" w:eastAsia="仿宋"/>
          <w:b/>
          <w:color w:val="000000"/>
          <w:kern w:val="2"/>
          <w:sz w:val="32"/>
          <w:szCs w:val="32"/>
          <w:lang w:val="en-US" w:eastAsia="zh-CN" w:bidi="ar-SA"/>
        </w:rPr>
        <w:t>部门固定资产占用情况表</w:t>
      </w:r>
    </w:p>
    <w:p>
      <w:pPr>
        <w:snapToGrid w:val="0"/>
        <w:spacing w:line="560" w:lineRule="exact"/>
        <w:jc w:val="both"/>
        <w:textAlignment w:val="baseline"/>
        <w:rPr>
          <w:rStyle w:val="6"/>
          <w:rFonts w:ascii="仿宋" w:hAnsi="仿宋" w:eastAsia="仿宋"/>
          <w:b/>
          <w:color w:val="000000"/>
          <w:kern w:val="2"/>
          <w:sz w:val="32"/>
          <w:szCs w:val="32"/>
          <w:lang w:val="en-US" w:eastAsia="zh-CN" w:bidi="ar-SA"/>
        </w:rPr>
      </w:pPr>
      <w:r>
        <w:rPr>
          <w:rStyle w:val="6"/>
          <w:rFonts w:ascii="仿宋" w:hAnsi="仿宋" w:eastAsia="仿宋"/>
          <w:color w:val="000000"/>
          <w:kern w:val="2"/>
          <w:sz w:val="28"/>
          <w:szCs w:val="28"/>
          <w:lang w:val="en-US" w:eastAsia="zh-CN" w:bidi="ar-SA"/>
        </w:rPr>
        <w:t>编制部门：寺坨小学     截止时间：20</w:t>
      </w:r>
      <w:r>
        <w:rPr>
          <w:rStyle w:val="6"/>
          <w:rFonts w:hint="eastAsia" w:ascii="仿宋" w:hAnsi="仿宋" w:eastAsia="仿宋"/>
          <w:color w:val="000000"/>
          <w:kern w:val="2"/>
          <w:sz w:val="28"/>
          <w:szCs w:val="28"/>
          <w:lang w:val="en-US" w:eastAsia="zh-CN" w:bidi="ar-SA"/>
        </w:rPr>
        <w:t>20</w:t>
      </w:r>
      <w:r>
        <w:rPr>
          <w:rStyle w:val="6"/>
          <w:rFonts w:ascii="仿宋" w:hAnsi="仿宋" w:eastAsia="仿宋"/>
          <w:color w:val="000000"/>
          <w:kern w:val="2"/>
          <w:sz w:val="28"/>
          <w:szCs w:val="28"/>
          <w:lang w:val="en-US" w:eastAsia="zh-CN" w:bidi="ar-SA"/>
        </w:rPr>
        <w:t>年12月31日</w:t>
      </w:r>
    </w:p>
    <w:tbl>
      <w:tblPr>
        <w:tblStyle w:val="4"/>
        <w:tblW w:w="8648"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12"/>
        <w:gridCol w:w="1417"/>
        <w:gridCol w:w="31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项目</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数量</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价值（单位：万元）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资产总额</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hint="default" w:ascii="仿宋" w:hAnsi="仿宋" w:eastAsia="仿宋"/>
                <w:color w:val="000000"/>
                <w:kern w:val="2"/>
                <w:sz w:val="28"/>
                <w:szCs w:val="28"/>
                <w:lang w:val="en-US" w:eastAsia="zh-CN" w:bidi="ar-SA"/>
              </w:rPr>
            </w:pPr>
            <w:r>
              <w:rPr>
                <w:rStyle w:val="6"/>
                <w:rFonts w:hint="eastAsia" w:ascii="仿宋" w:hAnsi="仿宋" w:eastAsia="仿宋"/>
                <w:color w:val="000000"/>
                <w:kern w:val="2"/>
                <w:sz w:val="28"/>
                <w:szCs w:val="28"/>
                <w:lang w:val="en-US" w:eastAsia="zh-CN" w:bidi="ar-SA"/>
              </w:rPr>
              <w:t>623.67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1、房屋（平方米）</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1860</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362.84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其中：办公用房（平方米）</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190</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38.29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2、车辆（台、辆）</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3、单价在20万元以上设备</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 w:hRule="atLeast"/>
        </w:trPr>
        <w:tc>
          <w:tcPr>
            <w:tcW w:w="4112"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both"/>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4、其他固定资产</w:t>
            </w:r>
          </w:p>
        </w:tc>
        <w:tc>
          <w:tcPr>
            <w:tcW w:w="1417"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ascii="仿宋" w:hAnsi="仿宋" w:eastAsia="仿宋"/>
                <w:color w:val="000000"/>
                <w:kern w:val="2"/>
                <w:sz w:val="28"/>
                <w:szCs w:val="28"/>
                <w:lang w:val="en-US" w:eastAsia="zh-CN" w:bidi="ar-SA"/>
              </w:rPr>
            </w:pPr>
            <w:r>
              <w:rPr>
                <w:rStyle w:val="6"/>
                <w:rFonts w:ascii="仿宋" w:hAnsi="仿宋" w:eastAsia="仿宋"/>
                <w:color w:val="000000"/>
                <w:kern w:val="2"/>
                <w:sz w:val="28"/>
                <w:szCs w:val="28"/>
                <w:lang w:val="en-US" w:eastAsia="zh-CN" w:bidi="ar-SA"/>
              </w:rPr>
              <w:t>—</w:t>
            </w:r>
          </w:p>
        </w:tc>
        <w:tc>
          <w:tcPr>
            <w:tcW w:w="3119" w:type="dxa"/>
            <w:tcBorders>
              <w:top w:val="single" w:color="000000" w:sz="4" w:space="0"/>
              <w:left w:val="single" w:color="000000" w:sz="4" w:space="0"/>
              <w:bottom w:val="single" w:color="000000" w:sz="4" w:space="0"/>
              <w:right w:val="single" w:color="000000" w:sz="4" w:space="0"/>
            </w:tcBorders>
            <w:vAlign w:val="top"/>
          </w:tcPr>
          <w:p>
            <w:pPr>
              <w:snapToGrid w:val="0"/>
              <w:spacing w:line="560" w:lineRule="exact"/>
              <w:jc w:val="center"/>
              <w:textAlignment w:val="baseline"/>
              <w:rPr>
                <w:rStyle w:val="6"/>
                <w:rFonts w:hint="default" w:ascii="仿宋" w:hAnsi="仿宋" w:eastAsia="仿宋"/>
                <w:color w:val="000000"/>
                <w:kern w:val="2"/>
                <w:sz w:val="28"/>
                <w:szCs w:val="28"/>
                <w:lang w:val="en-US" w:eastAsia="zh-CN" w:bidi="ar-SA"/>
              </w:rPr>
            </w:pPr>
            <w:r>
              <w:rPr>
                <w:rStyle w:val="6"/>
                <w:rFonts w:hint="eastAsia" w:ascii="仿宋" w:hAnsi="仿宋" w:eastAsia="仿宋"/>
                <w:color w:val="000000"/>
                <w:kern w:val="2"/>
                <w:sz w:val="28"/>
                <w:szCs w:val="28"/>
                <w:lang w:val="en-US" w:eastAsia="zh-CN" w:bidi="ar-SA"/>
              </w:rPr>
              <w:t>260.83</w:t>
            </w:r>
          </w:p>
        </w:tc>
      </w:tr>
    </w:tbl>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202</w:t>
      </w:r>
      <w:r>
        <w:rPr>
          <w:rStyle w:val="6"/>
          <w:rFonts w:hint="eastAsia" w:ascii="仿宋" w:hAnsi="仿宋" w:eastAsia="仿宋" w:cs="仿宋"/>
          <w:bCs/>
          <w:color w:val="000000"/>
          <w:kern w:val="2"/>
          <w:sz w:val="32"/>
          <w:szCs w:val="32"/>
          <w:lang w:val="en-US" w:eastAsia="zh-CN" w:bidi="ar-SA"/>
        </w:rPr>
        <w:t>1</w:t>
      </w:r>
      <w:r>
        <w:rPr>
          <w:rStyle w:val="6"/>
          <w:rFonts w:ascii="仿宋" w:hAnsi="仿宋" w:eastAsia="仿宋" w:cs="仿宋"/>
          <w:bCs/>
          <w:color w:val="000000"/>
          <w:kern w:val="2"/>
          <w:sz w:val="32"/>
          <w:szCs w:val="32"/>
          <w:lang w:val="en-US" w:eastAsia="zh-CN" w:bidi="ar-SA"/>
        </w:rPr>
        <w:t>年我单位拟购置</w:t>
      </w:r>
      <w:r>
        <w:rPr>
          <w:rStyle w:val="6"/>
          <w:rFonts w:hint="eastAsia" w:ascii="仿宋" w:hAnsi="仿宋" w:eastAsia="仿宋" w:cs="仿宋"/>
          <w:bCs/>
          <w:color w:val="000000"/>
          <w:kern w:val="2"/>
          <w:sz w:val="32"/>
          <w:szCs w:val="32"/>
          <w:lang w:val="en-US" w:eastAsia="zh-CN" w:bidi="ar-SA"/>
        </w:rPr>
        <w:t>学生桌椅、电子屏</w:t>
      </w:r>
      <w:r>
        <w:rPr>
          <w:rStyle w:val="6"/>
          <w:rFonts w:ascii="仿宋" w:hAnsi="仿宋" w:eastAsia="仿宋" w:cs="仿宋"/>
          <w:bCs/>
          <w:color w:val="000000"/>
          <w:kern w:val="2"/>
          <w:sz w:val="32"/>
          <w:szCs w:val="32"/>
          <w:lang w:val="en-US" w:eastAsia="zh-CN" w:bidi="ar-SA"/>
        </w:rPr>
        <w:t>等设备</w:t>
      </w:r>
      <w:r>
        <w:rPr>
          <w:rStyle w:val="6"/>
          <w:rFonts w:hint="eastAsia" w:ascii="仿宋" w:hAnsi="仿宋" w:eastAsia="仿宋" w:cs="仿宋"/>
          <w:bCs/>
          <w:color w:val="000000"/>
          <w:kern w:val="2"/>
          <w:sz w:val="32"/>
          <w:szCs w:val="32"/>
          <w:lang w:val="en-US" w:eastAsia="zh-CN" w:bidi="ar-SA"/>
        </w:rPr>
        <w:t>共计4.65</w:t>
      </w:r>
      <w:r>
        <w:rPr>
          <w:rStyle w:val="6"/>
          <w:rFonts w:ascii="仿宋" w:hAnsi="仿宋" w:eastAsia="仿宋" w:cs="仿宋"/>
          <w:bCs/>
          <w:color w:val="000000"/>
          <w:kern w:val="2"/>
          <w:sz w:val="32"/>
          <w:szCs w:val="32"/>
          <w:lang w:val="en-US" w:eastAsia="zh-CN" w:bidi="ar-SA"/>
        </w:rPr>
        <w:t>万元。</w:t>
      </w:r>
    </w:p>
    <w:p>
      <w:pPr>
        <w:snapToGrid w:val="0"/>
        <w:spacing w:line="360" w:lineRule="auto"/>
        <w:ind w:firstLine="643"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八、名词解释</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基本支出：为保障机构正常运转，完成日常工作任务，而发生的人员支出和公用支出。</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 xml:space="preserve">项目支出：为完成特定行政任务和事业发展目标而发生的费用。    </w:t>
      </w:r>
    </w:p>
    <w:p>
      <w:pPr>
        <w:snapToGrid w:val="0"/>
        <w:spacing w:line="360" w:lineRule="auto"/>
        <w:ind w:firstLine="643" w:firstLineChars="200"/>
        <w:jc w:val="both"/>
        <w:textAlignment w:val="baseline"/>
        <w:rPr>
          <w:rStyle w:val="6"/>
          <w:rFonts w:ascii="仿宋" w:hAnsi="仿宋" w:eastAsia="仿宋" w:cs="仿宋"/>
          <w:b/>
          <w:bCs/>
          <w:color w:val="000000"/>
          <w:kern w:val="2"/>
          <w:sz w:val="32"/>
          <w:szCs w:val="32"/>
          <w:lang w:val="en-US" w:eastAsia="zh-CN" w:bidi="ar-SA"/>
        </w:rPr>
      </w:pPr>
      <w:r>
        <w:rPr>
          <w:rStyle w:val="6"/>
          <w:rFonts w:ascii="仿宋" w:hAnsi="仿宋" w:eastAsia="仿宋" w:cs="仿宋"/>
          <w:b/>
          <w:bCs/>
          <w:color w:val="000000"/>
          <w:kern w:val="2"/>
          <w:sz w:val="32"/>
          <w:szCs w:val="32"/>
          <w:lang w:val="en-US" w:eastAsia="zh-CN" w:bidi="ar-SA"/>
        </w:rPr>
        <w:t>九、其他情况说明</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部门预算政府性基金预算财政拨款支出表，此表无数据，因本单位不涉及政府性基金，因此无数据；</w:t>
      </w:r>
    </w:p>
    <w:p>
      <w:pPr>
        <w:snapToGrid w:val="0"/>
        <w:spacing w:line="360" w:lineRule="auto"/>
        <w:ind w:firstLine="640" w:firstLineChars="200"/>
        <w:jc w:val="both"/>
        <w:textAlignment w:val="baseline"/>
        <w:rPr>
          <w:rStyle w:val="6"/>
          <w:rFonts w:ascii="仿宋" w:hAnsi="仿宋" w:eastAsia="仿宋" w:cs="仿宋"/>
          <w:bCs/>
          <w:color w:val="000000"/>
          <w:kern w:val="2"/>
          <w:sz w:val="32"/>
          <w:szCs w:val="32"/>
          <w:lang w:val="en-US" w:eastAsia="zh-CN" w:bidi="ar-SA"/>
        </w:rPr>
      </w:pPr>
      <w:r>
        <w:rPr>
          <w:rStyle w:val="6"/>
          <w:rFonts w:ascii="仿宋" w:hAnsi="仿宋" w:eastAsia="仿宋" w:cs="仿宋"/>
          <w:bCs/>
          <w:color w:val="000000"/>
          <w:kern w:val="2"/>
          <w:sz w:val="32"/>
          <w:szCs w:val="32"/>
          <w:lang w:val="en-US" w:eastAsia="zh-CN" w:bidi="ar-SA"/>
        </w:rPr>
        <w:t>部门预算国有资本经营预算财政拨款支出表，此表无数据，因本单位不涉及国有资本经营，因此无数据。</w:t>
      </w:r>
    </w:p>
    <w:sectPr>
      <w:headerReference r:id="rId3" w:type="default"/>
      <w:footerReference r:id="rId4" w:type="default"/>
      <w:pgSz w:w="11906" w:h="16838"/>
      <w:pgMar w:top="1474" w:right="1803" w:bottom="1474" w:left="1803" w:header="851" w:footer="992" w:gutter="0"/>
      <w:lnNumType w:countBy="0"/>
      <w:cols w:space="720" w:num="1"/>
      <w:vAlign w:val="top"/>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_GBK">
    <w:altName w:val="宋体"/>
    <w:panose1 w:val="00000000000000000000"/>
    <w:charset w:val="86"/>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6"/>
        <w:rFonts w:ascii="Calibri" w:hAnsi="Calibri"/>
        <w:kern w:val="2"/>
        <w:sz w:val="18"/>
        <w:szCs w:val="18"/>
        <w:lang w:val="en-US" w:eastAsia="zh-CN" w:bidi="ar-SA"/>
      </w:rPr>
    </w:pPr>
    <w:r>
      <w:rPr>
        <w:rStyle w:val="6"/>
        <w:rFonts w:ascii="Calibri" w:hAnsi="Calibri"/>
        <w:kern w:val="2"/>
        <w:sz w:val="18"/>
        <w:szCs w:val="18"/>
        <w:lang w:val="en-US" w:eastAsia="zh-CN" w:bidi="ar-SA"/>
      </w:rPr>
      <w:pict>
        <v:shape id="_x0000_s4097" o:spid="_x0000_s4097" o:spt="202" type="#_x0000_t202" style="position:absolute;left:0pt;margin-top:0pt;height:144pt;width:144pt;mso-position-horizontal:center;mso-position-horizontal-relative:margin;z-index:251659264;mso-width-relative:page;mso-height-relative:page;" filled="f" stroked="f" coordsize="21600,21600">
          <v:path/>
          <v:fill on="f" focussize="0,0"/>
          <v:stroke on="f"/>
          <v:imagedata o:title=""/>
          <o:lock v:ext="edit"/>
          <v:textbox inset="0mm,0mm,0mm,0mm"/>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6"/>
        <w:rFonts w:ascii="Times New Roman" w:hAnsi="Times New Roman" w:eastAsia="Times New Roman"/>
        <w:kern w:val="0"/>
        <w:sz w:val="18"/>
        <w:szCs w:val="18"/>
        <w:lang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isplayHorizontalDrawingGridEvery w:val="2"/>
  <w:displayVerticalDrawingGridEvery w:val="1"/>
  <w:doNotUseMarginsForDrawingGridOrigin w:val="1"/>
  <w:drawingGridHorizontalOrigin w:val="1800"/>
  <w:drawingGridVerticalOrigin w:val="1440"/>
  <w:hdrShapeDefaults>
    <o:shapelayout v:ext="edit">
      <o:idmap v:ext="edit" data="3,4"/>
    </o:shapelayout>
  </w:hdrShapeDefaults>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001258A7"/>
    <w:rsid w:val="00151350"/>
    <w:rsid w:val="001A45F5"/>
    <w:rsid w:val="001B0742"/>
    <w:rsid w:val="002158AD"/>
    <w:rsid w:val="002E4F1F"/>
    <w:rsid w:val="002F2930"/>
    <w:rsid w:val="00392658"/>
    <w:rsid w:val="00397EC7"/>
    <w:rsid w:val="00540C35"/>
    <w:rsid w:val="005543FA"/>
    <w:rsid w:val="00673AED"/>
    <w:rsid w:val="006C7899"/>
    <w:rsid w:val="007524DA"/>
    <w:rsid w:val="00771F32"/>
    <w:rsid w:val="007E29CB"/>
    <w:rsid w:val="00817D3D"/>
    <w:rsid w:val="00867BB3"/>
    <w:rsid w:val="008A3FBC"/>
    <w:rsid w:val="008E5E60"/>
    <w:rsid w:val="00944F57"/>
    <w:rsid w:val="00A90030"/>
    <w:rsid w:val="00B434BC"/>
    <w:rsid w:val="00B47166"/>
    <w:rsid w:val="00BC6158"/>
    <w:rsid w:val="00BE02DB"/>
    <w:rsid w:val="00BE2654"/>
    <w:rsid w:val="00C82C34"/>
    <w:rsid w:val="00D27FFD"/>
    <w:rsid w:val="00D31365"/>
    <w:rsid w:val="00DA43AC"/>
    <w:rsid w:val="00DA71A4"/>
    <w:rsid w:val="00DB0458"/>
    <w:rsid w:val="00EB5CF2"/>
    <w:rsid w:val="00ED4811"/>
    <w:rsid w:val="00EE04CE"/>
    <w:rsid w:val="00F95B83"/>
    <w:rsid w:val="00FB62E7"/>
    <w:rsid w:val="00FD6777"/>
    <w:rsid w:val="02130E38"/>
    <w:rsid w:val="094D3623"/>
    <w:rsid w:val="0A8B3E43"/>
    <w:rsid w:val="0AC23505"/>
    <w:rsid w:val="0C4D1E38"/>
    <w:rsid w:val="0C4D480A"/>
    <w:rsid w:val="11E16A0F"/>
    <w:rsid w:val="11FA1FB4"/>
    <w:rsid w:val="14F055C1"/>
    <w:rsid w:val="151A136F"/>
    <w:rsid w:val="160E354D"/>
    <w:rsid w:val="165F5A58"/>
    <w:rsid w:val="167B5A26"/>
    <w:rsid w:val="17CE524F"/>
    <w:rsid w:val="199D4AE9"/>
    <w:rsid w:val="1B7F5B69"/>
    <w:rsid w:val="1E3A3677"/>
    <w:rsid w:val="1F1E0942"/>
    <w:rsid w:val="226F718B"/>
    <w:rsid w:val="256253C7"/>
    <w:rsid w:val="26470100"/>
    <w:rsid w:val="26F46A50"/>
    <w:rsid w:val="27CC130C"/>
    <w:rsid w:val="313E24A0"/>
    <w:rsid w:val="315831D5"/>
    <w:rsid w:val="342A1D56"/>
    <w:rsid w:val="344B1893"/>
    <w:rsid w:val="34DC52BD"/>
    <w:rsid w:val="366B49F4"/>
    <w:rsid w:val="38A13819"/>
    <w:rsid w:val="3FAA33D5"/>
    <w:rsid w:val="419D1BC9"/>
    <w:rsid w:val="43B264D4"/>
    <w:rsid w:val="476C52C0"/>
    <w:rsid w:val="4A1B4EFF"/>
    <w:rsid w:val="4C950063"/>
    <w:rsid w:val="4EF41C97"/>
    <w:rsid w:val="4EF97DA5"/>
    <w:rsid w:val="4F1356CA"/>
    <w:rsid w:val="523E2D7C"/>
    <w:rsid w:val="53BB68A1"/>
    <w:rsid w:val="557448E2"/>
    <w:rsid w:val="5B937503"/>
    <w:rsid w:val="5C0113AB"/>
    <w:rsid w:val="5EB55364"/>
    <w:rsid w:val="5F025169"/>
    <w:rsid w:val="60EA1C53"/>
    <w:rsid w:val="643D16D9"/>
    <w:rsid w:val="74192113"/>
    <w:rsid w:val="754E3268"/>
    <w:rsid w:val="76765F0B"/>
    <w:rsid w:val="7B5753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书宋_GBK"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6"/>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textAlignment w:val="baseline"/>
    </w:pPr>
    <w:rPr>
      <w:rFonts w:ascii="Calibri" w:hAnsi="Calibri"/>
      <w:kern w:val="2"/>
      <w:sz w:val="18"/>
      <w:szCs w:val="18"/>
      <w:lang w:val="en-US" w:eastAsia="zh-CN" w:bidi="ar-SA"/>
    </w:rPr>
  </w:style>
  <w:style w:type="paragraph" w:styleId="3">
    <w:name w:val="header"/>
    <w:basedOn w:val="1"/>
    <w:link w:val="11"/>
    <w:uiPriority w:val="0"/>
    <w:pPr>
      <w:pBdr>
        <w:bottom w:val="single" w:color="000000" w:sz="6" w:space="1"/>
      </w:pBdr>
      <w:tabs>
        <w:tab w:val="center" w:pos="4153"/>
        <w:tab w:val="right" w:pos="8306"/>
      </w:tabs>
      <w:snapToGrid w:val="0"/>
      <w:jc w:val="center"/>
      <w:textAlignment w:val="baseline"/>
    </w:pPr>
    <w:rPr>
      <w:rFonts w:ascii="Times New Roman" w:hAnsi="Times New Roman" w:eastAsia="Times New Roman"/>
      <w:kern w:val="0"/>
      <w:sz w:val="18"/>
      <w:szCs w:val="18"/>
      <w:lang w:bidi="ar-SA"/>
    </w:rPr>
  </w:style>
  <w:style w:type="character" w:customStyle="1" w:styleId="6">
    <w:name w:val="NormalCharacter"/>
    <w:link w:val="1"/>
    <w:semiHidden/>
    <w:qFormat/>
    <w:uiPriority w:val="0"/>
  </w:style>
  <w:style w:type="table" w:customStyle="1" w:styleId="7">
    <w:name w:val="TableNormal"/>
    <w:semiHidden/>
    <w:qFormat/>
    <w:uiPriority w:val="0"/>
  </w:style>
  <w:style w:type="character" w:customStyle="1" w:styleId="8">
    <w:name w:val="FootnoteReference"/>
    <w:link w:val="1"/>
    <w:qFormat/>
    <w:uiPriority w:val="0"/>
    <w:rPr>
      <w:vertAlign w:val="superscript"/>
    </w:rPr>
  </w:style>
  <w:style w:type="character" w:customStyle="1" w:styleId="9">
    <w:name w:val="UserStyle_0"/>
    <w:link w:val="10"/>
    <w:qFormat/>
    <w:uiPriority w:val="0"/>
    <w:rPr>
      <w:rFonts w:ascii="Calibri" w:hAnsi="Calibri"/>
      <w:kern w:val="2"/>
      <w:sz w:val="18"/>
      <w:szCs w:val="18"/>
    </w:rPr>
  </w:style>
  <w:style w:type="paragraph" w:customStyle="1" w:styleId="10">
    <w:name w:val="FootnoteText"/>
    <w:basedOn w:val="1"/>
    <w:link w:val="9"/>
    <w:qFormat/>
    <w:uiPriority w:val="0"/>
    <w:pPr>
      <w:snapToGrid w:val="0"/>
      <w:jc w:val="left"/>
      <w:textAlignment w:val="baseline"/>
    </w:pPr>
    <w:rPr>
      <w:rFonts w:ascii="Calibri" w:hAnsi="Calibri"/>
      <w:kern w:val="2"/>
      <w:sz w:val="18"/>
      <w:szCs w:val="18"/>
      <w:lang w:val="en-US" w:eastAsia="zh-CN" w:bidi="ar-SA"/>
    </w:rPr>
  </w:style>
  <w:style w:type="character" w:customStyle="1" w:styleId="11">
    <w:name w:val="UserStyle_1"/>
    <w:link w:val="3"/>
    <w:semiHidden/>
    <w:qFormat/>
    <w:uiPriority w:val="0"/>
    <w:rPr>
      <w:sz w:val="18"/>
      <w:szCs w:val="18"/>
      <w:lang w:bidi="ar-SA"/>
    </w:rPr>
  </w:style>
  <w:style w:type="character" w:customStyle="1" w:styleId="12">
    <w:name w:val="PageNumber"/>
    <w:basedOn w:val="6"/>
    <w:link w:val="1"/>
    <w:qFormat/>
    <w:uiPriority w:val="0"/>
  </w:style>
  <w:style w:type="character" w:customStyle="1" w:styleId="13">
    <w:name w:val="UserStyle_2"/>
    <w:link w:val="1"/>
    <w:qFormat/>
    <w:uiPriority w:val="0"/>
    <w:rPr>
      <w:rFonts w:ascii="宋体" w:hAnsi="宋体" w:eastAsia="宋体"/>
      <w:color w:val="FF0000"/>
      <w:sz w:val="21"/>
      <w:szCs w:val="21"/>
    </w:rPr>
  </w:style>
  <w:style w:type="character" w:customStyle="1" w:styleId="14">
    <w:name w:val="UserStyle_3"/>
    <w:link w:val="15"/>
    <w:uiPriority w:val="0"/>
    <w:rPr>
      <w:rFonts w:ascii="Calibri" w:hAnsi="Calibri"/>
      <w:kern w:val="2"/>
      <w:sz w:val="18"/>
      <w:szCs w:val="18"/>
    </w:rPr>
  </w:style>
  <w:style w:type="paragraph" w:customStyle="1" w:styleId="15">
    <w:name w:val="Acetate"/>
    <w:basedOn w:val="1"/>
    <w:link w:val="14"/>
    <w:qFormat/>
    <w:uiPriority w:val="0"/>
    <w:pPr>
      <w:jc w:val="both"/>
      <w:textAlignment w:val="baseline"/>
    </w:pPr>
    <w:rPr>
      <w:rFonts w:ascii="Calibri" w:hAnsi="Calibri"/>
      <w:kern w:val="2"/>
      <w:sz w:val="18"/>
      <w:szCs w:val="18"/>
      <w:lang w:val="en-US" w:eastAsia="zh-CN" w:bidi="ar-SA"/>
    </w:rPr>
  </w:style>
  <w:style w:type="character" w:customStyle="1" w:styleId="16">
    <w:name w:val="UserStyle_4"/>
    <w:link w:val="1"/>
    <w:qFormat/>
    <w:uiPriority w:val="0"/>
    <w:rPr>
      <w:rFonts w:ascii="Calibri" w:hAnsi="Calibri"/>
      <w:color w:val="FF0000"/>
      <w:sz w:val="21"/>
      <w:szCs w:val="21"/>
    </w:rPr>
  </w:style>
  <w:style w:type="paragraph" w:customStyle="1" w:styleId="17">
    <w:name w:val="UserStyle_5"/>
    <w:basedOn w:val="1"/>
    <w:qFormat/>
    <w:uiPriority w:val="0"/>
    <w:pPr>
      <w:widowControl/>
      <w:jc w:val="both"/>
      <w:textAlignment w:val="baseline"/>
    </w:pPr>
    <w:rPr>
      <w:rFonts w:ascii="Times New Roman" w:hAnsi="Times New Roman"/>
      <w:kern w:val="0"/>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Office_11.1.0.10356_F1E327BC-269C-435d-A152-05C5408002CA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2020-02-27T05:08:00Z</dcterms:created>
  <dc:creator>Administrator</dc:creator>
  <cp:lastModifiedBy>Administrator</cp:lastModifiedBy>
  <dcterms:modified xsi:type="dcterms:W3CDTF">2021-03-25T07:14:45Z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08EAF651BA03429A8D95CFB171679C42</vt:lpwstr>
  </property>
</Properties>
</file>