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3628D">
      <w:pPr>
        <w:jc w:val="left"/>
        <w:rPr>
          <w:rFonts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附件1</w:t>
      </w:r>
    </w:p>
    <w:p w14:paraId="7E1BF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2409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唐山市丰南区财政局</w:t>
      </w:r>
    </w:p>
    <w:p w14:paraId="6799B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bookmarkStart w:id="0" w:name="OLE_LINK8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积极应对人口老龄化工程和托育建设2024年第一批中央基建投资预算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项目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绩效评价报告</w:t>
      </w:r>
    </w:p>
    <w:p w14:paraId="33DD4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center"/>
        <w:textAlignment w:val="auto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</w:p>
    <w:p w14:paraId="01E83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按照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 w:bidi="ar-SA"/>
        </w:rPr>
        <w:t>《积极应对人口老龄化工程和托育建设2024年第一批中央基建投资预算项目绩效评价工作方案》（丰财建〔2025〕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 w:bidi="ar-SA"/>
        </w:rPr>
        <w:t>9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 w:bidi="ar-SA"/>
        </w:rPr>
        <w:t>号），我局对积极应对人口老龄化工程和托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 w:bidi="ar-SA"/>
        </w:rPr>
        <w:t>育建设2024年第一批中央基建投资预算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bidi="ar-SA"/>
        </w:rPr>
        <w:t>项目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开展了绩效评价。评价情况如下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：</w:t>
      </w:r>
    </w:p>
    <w:p w14:paraId="5BFB5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0"/>
          <w:szCs w:val="30"/>
          <w:lang w:val="en-US" w:eastAsia="zh-CN"/>
        </w:rPr>
        <w:t>一、评价工作组织开展情况</w:t>
      </w:r>
    </w:p>
    <w:p w14:paraId="7EC91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0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  <w:t>（一）设立评价工作组</w:t>
      </w:r>
      <w:bookmarkStart w:id="18" w:name="_GoBack"/>
      <w:bookmarkEnd w:id="18"/>
    </w:p>
    <w:p w14:paraId="4C016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按照工作安排，我单位成立绩效评价工作小组，组长由主管局长朱玉广同志担任，经建股毕晓琴、严然为成员。</w:t>
      </w:r>
    </w:p>
    <w:p w14:paraId="626AB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  <w:t>（二）确立评价对象</w:t>
      </w:r>
    </w:p>
    <w:p w14:paraId="31478A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评价对象为积极应对人口老龄化工程和托育建设2024年第一批中央基建投资预算项目2360万元，全部为中央基建资金。</w:t>
      </w:r>
    </w:p>
    <w:p w14:paraId="0946BB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  <w:t>制定工作方案</w:t>
      </w:r>
    </w:p>
    <w:p w14:paraId="25FA3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评价工作组根据《唐山市丰南区财政局关于开展2024年度财政重点绩效评价工作的通知》（丰财监〔2025〕2号）要求，制定《积极应对人口老龄化工程和托育建设2024年第一批中央基建投资预算项目绩效评价工作方案》，印发区发展和改革局执行。</w:t>
      </w:r>
    </w:p>
    <w:p w14:paraId="1FDC04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  <w:t>开展工作过程</w:t>
      </w:r>
    </w:p>
    <w:p w14:paraId="50DA1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绩效评价工作组查阅、分析区发展和改革局提交的项目管理、资金使用等相关资料，开展问卷调查，进行必要的访谈，对项目绩效情况进行全面的定量、定性分析，形成评价初步结论。通过征求区发展和改革局意见，对初步结论进一步修改确认，形成最终评价报告。</w:t>
      </w:r>
    </w:p>
    <w:p w14:paraId="6F00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0"/>
          <w:szCs w:val="30"/>
          <w:lang w:val="en-US" w:eastAsia="zh-CN"/>
        </w:rPr>
        <w:t>二、绩效评价情况</w:t>
      </w:r>
    </w:p>
    <w:p w14:paraId="35E3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0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  <w:t>（一）项目概况</w:t>
      </w:r>
    </w:p>
    <w:p w14:paraId="75B04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1、立项背景</w:t>
      </w:r>
    </w:p>
    <w:p w14:paraId="106BF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为积极应对人口老龄化、加快发展养老服务业，</w:t>
      </w:r>
      <w:bookmarkStart w:id="1" w:name="OLE_LINK9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不断</w:t>
      </w:r>
      <w:bookmarkStart w:id="2" w:name="OLE_LINK2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满足老年人持续增长的养老服务需求，</w:t>
      </w:r>
      <w:bookmarkEnd w:id="2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唐山康信医院有限责任公司建设唐山康信医养结合中心项目，项目建成后，将涵盖医疗服务、健康养老、医疗科研、医疗教育、健康管理、健康疗养、休闲养生等业务，成为立足唐山，面向全国、面向未来的养老医疗健康产业综合运营体</w:t>
      </w:r>
      <w:bookmarkStart w:id="3" w:name="_Toc336281033"/>
      <w:bookmarkStart w:id="4" w:name="_Toc350263209"/>
      <w:bookmarkStart w:id="5" w:name="_Toc350262117"/>
      <w:bookmarkStart w:id="6" w:name="_Toc336283250"/>
      <w:bookmarkStart w:id="7" w:name="_Toc336279653"/>
      <w:bookmarkStart w:id="8" w:name="_Toc351130439"/>
      <w:bookmarkStart w:id="9" w:name="_Toc335887823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，</w:t>
      </w:r>
      <w:bookmarkStart w:id="10" w:name="OLE_LINK7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为河北省的医疗、养老事业做出贡献。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"/>
    <w:p w14:paraId="1EBBE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2、实施情况</w:t>
      </w:r>
      <w:bookmarkStart w:id="11" w:name="OLE_LINK1"/>
    </w:p>
    <w:p w14:paraId="3FE5F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截至2024年底，</w:t>
      </w:r>
      <w:bookmarkEnd w:id="11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医养综合主体完成，附属用房主体完成。能够推动增强普惠养老服务有效供给，逐步构建居家社区机构相协调、医养康养相结合的养老服务体系。</w:t>
      </w:r>
    </w:p>
    <w:p w14:paraId="5A8B342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资金来源和使用情况</w:t>
      </w:r>
    </w:p>
    <w:p w14:paraId="46FBB9FF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该项目使用中央预算内资金2360万元，其他资金为企业自筹，截至2024年底，2360万元中央预算内资金已全部支付完成，预算执行率100%。</w:t>
      </w:r>
    </w:p>
    <w:p w14:paraId="6FA613D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绩效目标完成情况</w:t>
      </w:r>
    </w:p>
    <w:p w14:paraId="7F729D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通过该项目的实施，能够明显改善养老托育服务基础设施条件，绩效目标完成较好。</w:t>
      </w:r>
    </w:p>
    <w:p w14:paraId="6F74A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left="0" w:firstLine="60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0"/>
          <w:szCs w:val="30"/>
          <w:lang w:val="en-US" w:eastAsia="zh-CN"/>
        </w:rPr>
        <w:t>（二）绩效分析及评价结论</w:t>
      </w:r>
    </w:p>
    <w:p w14:paraId="15519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1、根据绩效评价指标评分表逐项分析</w:t>
      </w:r>
    </w:p>
    <w:p w14:paraId="46502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（1）项目立项规范性（设定6分，得分6分）：该项目设立规范，能够满足老年人持续增长的养老服务需求，为我区医疗、养老事业做出贡献，得分6分。</w:t>
      </w:r>
    </w:p>
    <w:p w14:paraId="2FB94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（2）绩效目标合理性（设定4分，得分4分）：设定的绩效目标依据充分，符合客观实际，清晰反映了预算资金的预期产出和效果，指向明确，得分4分。</w:t>
      </w:r>
    </w:p>
    <w:p w14:paraId="14E1C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（3）绩效指标明确性（设定3分，得分3分）：该项目设定的绩效指标明确且量化，得分3分。</w:t>
      </w:r>
    </w:p>
    <w:p w14:paraId="7845E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4）资金使用合规性（设定4分，得分4分）：资金使用符合国家财经法规和财务管理制度；支出有完整的审批程序和手续，符合合同规定的用途，并根据验收及时拨付项目资金，未出现截留挤占、挪用、虚列支出等情况，得分4分。</w:t>
      </w:r>
    </w:p>
    <w:p w14:paraId="3E79B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（5）财务监控有效性（设定3分，得分3分）：区发展和改革局制定了内部控制手册，实现了项目从采购到付款的全过程监控，得分3分。</w:t>
      </w:r>
    </w:p>
    <w:p w14:paraId="235FC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（6）资金到位率（设定5分，得分5分）：采购预算资金100%到位，目前已完成支付，得5分。</w:t>
      </w:r>
    </w:p>
    <w:p w14:paraId="574A7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（7）资金支出进度（设定5分，得分5分）：该项目按照合同规定要求支出资金，支出进度100%，得分5分。</w:t>
      </w:r>
    </w:p>
    <w:p w14:paraId="30D71C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（8）管理制度健全性（设定6分.得分6分）：区发展和改革局制订了项目管理制度，制度合法、合规、完整，得6分。</w:t>
      </w:r>
    </w:p>
    <w:p w14:paraId="0BE194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9）制度执行有效性（设置4分，得分4分）：项目实施遵守相关的法律法规和各项管理规定：合同书等资料齐全并及时归档，项目实施的人员条件，场地设备等各种支撑条件落实到位，且严格执行项目管理程序和质量检查等，得分4分。</w:t>
      </w:r>
    </w:p>
    <w:p w14:paraId="42A7B5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（10）</w:t>
      </w:r>
      <w:bookmarkStart w:id="12" w:name="OLE_LINK3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医养综合主体数量</w:t>
      </w:r>
      <w:bookmarkEnd w:id="12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</w:t>
      </w:r>
      <w:bookmarkStart w:id="13" w:name="OLE_LINK5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设置</w:t>
      </w:r>
      <w:bookmarkEnd w:id="13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10分，得分10分）：合同要求修建</w:t>
      </w:r>
      <w:bookmarkStart w:id="14" w:name="OLE_LINK4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1座医养综合主体数量，</w:t>
      </w:r>
      <w:bookmarkEnd w:id="14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实际1座医养综合主体数量，得分10分。</w:t>
      </w:r>
    </w:p>
    <w:p w14:paraId="5AF5D7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（11）养老床位数（设置10分，得分10分）：要求养老床位数≥600张，实际预计为600张，得分10分。</w:t>
      </w:r>
    </w:p>
    <w:p w14:paraId="5544D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（12）</w:t>
      </w:r>
      <w:bookmarkStart w:id="15" w:name="OLE_LINK12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新建设施达到抗震设防要求</w:t>
      </w:r>
      <w:bookmarkEnd w:id="15"/>
      <w:bookmarkStart w:id="16" w:name="OLE_LINK14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（设置10分，得分10分）：</w:t>
      </w:r>
      <w:bookmarkEnd w:id="16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要求新建设施达到抗震设防要求，实际达到要求，得10分。</w:t>
      </w:r>
    </w:p>
    <w:p w14:paraId="7F18E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（13）建设项目验收合格率（设置10分，得分10分）：要求建设项目验收合格率=100%，预计验收合格率为100%，得分10分。</w:t>
      </w:r>
    </w:p>
    <w:p w14:paraId="0FD424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（14）可持续影响性（</w:t>
      </w:r>
      <w:bookmarkStart w:id="17" w:name="OLE_LINK6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设置</w:t>
      </w:r>
      <w:bookmarkEnd w:id="17"/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10分，得分10分）：养老托育服务基础设施条件能够不断改善，得分10分。</w:t>
      </w:r>
    </w:p>
    <w:p w14:paraId="39B374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（15）服务对象满意度（设置10分，得分10分）：对服务群众100人开展了问卷调查。满意率95%，得分10分。</w:t>
      </w:r>
    </w:p>
    <w:p w14:paraId="1C9B1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2.评价结论</w:t>
      </w:r>
    </w:p>
    <w:p w14:paraId="5ADBE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通过对绩效评分表逐项分析，该项目综合得分100分，积极应对人口老龄化工程和托育建设2024年第一批中央基建投资预算项目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的实施能够不断满足老年人持续增长的养老服务需求，项目评定等级为优。</w:t>
      </w:r>
    </w:p>
    <w:p w14:paraId="387CB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0"/>
          <w:szCs w:val="30"/>
          <w:lang w:val="en-US" w:eastAsia="zh-CN"/>
        </w:rPr>
        <w:t>三、主要经验及做法、存在的问题</w:t>
      </w:r>
    </w:p>
    <w:p w14:paraId="1DCAB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一是为确保项目的顺利实施，我单位责成专人对项目进行跟踪和抽查，形成了完善项目资金监管机制。二是资金使用符合国家财经法规和财务管理制度；支出有完整的审批程序和手续，符合合同规定的用途。</w:t>
      </w:r>
    </w:p>
    <w:p w14:paraId="6A24C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bCs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0"/>
          <w:szCs w:val="30"/>
          <w:lang w:val="en-US" w:eastAsia="zh-CN"/>
        </w:rPr>
        <w:t>四、项目管理及资金安排建议</w:t>
      </w:r>
    </w:p>
    <w:p w14:paraId="3762E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在接下来的财政资金使用过程中，我单位会持续加强对项目实施进度的监控，建立完善的资金监管机制，对资金使用情况进行定期检查和评估，确保项目按计划执行并达到预期目标。建议区发展和改革局在资金申报过程中保证手续健全、程序合法合规，保证财政资金的使用效益。</w:t>
      </w:r>
    </w:p>
    <w:p w14:paraId="65EDB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firstLine="600" w:firstLineChars="200"/>
        <w:jc w:val="left"/>
        <w:textAlignment w:val="auto"/>
        <w:outlineLvl w:val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sectPr>
      <w:pgSz w:w="11906" w:h="16838"/>
      <w:pgMar w:top="1928" w:right="1474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AD723"/>
    <w:multiLevelType w:val="singleLevel"/>
    <w:tmpl w:val="0ADAD72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114ACF"/>
    <w:multiLevelType w:val="singleLevel"/>
    <w:tmpl w:val="2C114AC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GM0ZDA3ZjBkOGNjMTczZTE4ODI1NjA3ZjY4MDJkYTQifQ=="/>
  </w:docVars>
  <w:rsids>
    <w:rsidRoot w:val="00000000"/>
    <w:rsid w:val="08E86980"/>
    <w:rsid w:val="37CF51B8"/>
    <w:rsid w:val="40BF19DA"/>
    <w:rsid w:val="70C10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cs="Calibri"/>
    </w:rPr>
  </w:style>
  <w:style w:type="paragraph" w:styleId="6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p0"/>
    <w:basedOn w:val="1"/>
    <w:next w:val="6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1622</Words>
  <Characters>1693</Characters>
  <Lines>19</Lines>
  <Paragraphs>19</Paragraphs>
  <TotalTime>10</TotalTime>
  <ScaleCrop>false</ScaleCrop>
  <LinksUpToDate>false</LinksUpToDate>
  <CharactersWithSpaces>1693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2025-05-14T02:48:17Z</cp:lastPrinted>
  <dcterms:modified xsi:type="dcterms:W3CDTF">2025-05-14T02:48:18Z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3E3D2D69AD3D4F369FEB137E00FB1B89_13</vt:lpwstr>
  </property>
  <property fmtid="{D5CDD505-2E9C-101B-9397-08002B2CF9AE}" pid="4" name="KSOTemplateDocerSaveRecord">
    <vt:lpwstr>eyJoZGlkIjoiYWUwMGUzZTVmZDJjYjI0OGZiMGFlMGU5NzIzMjNiNWIifQ==</vt:lpwstr>
  </property>
</Properties>
</file>