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ascii="宋体" w:cs="宋体" w:hAnsi="宋体" w:hint="eastAsia"/>
          <w:b/>
          <w:bCs/>
          <w:spacing w:val="6"/>
          <w:sz w:val="44"/>
          <w:szCs w:val="44"/>
          <w:lang w:eastAsia="zh-CN"/>
        </w:rPr>
      </w:pPr>
      <w:r>
        <w:rPr>
          <w:rFonts w:ascii="宋体" w:cs="宋体" w:hAnsi="宋体"/>
          <w:b/>
          <w:bCs/>
          <w:spacing w:val="6"/>
          <w:sz w:val="44"/>
          <w:szCs w:val="44"/>
          <w:lang w:eastAsia="zh-CN"/>
        </w:rPr>
        <w:t>关于开展对区住建局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ascii="宋体" w:cs="仿宋" w:hAnsi="宋体"/>
          <w:b/>
          <w:bCs/>
          <w:spacing w:val="6"/>
          <w:sz w:val="44"/>
          <w:szCs w:val="44"/>
        </w:rPr>
      </w:pPr>
      <w:r>
        <w:rPr>
          <w:rFonts w:ascii="宋体" w:cs="仿宋" w:hAnsi="宋体" w:hint="eastAsia"/>
          <w:b/>
          <w:bCs/>
          <w:spacing w:val="6"/>
          <w:sz w:val="44"/>
          <w:szCs w:val="44"/>
        </w:rPr>
        <w:t>202</w:t>
      </w:r>
      <w:r>
        <w:rPr>
          <w:rFonts w:ascii="宋体" w:cs="仿宋" w:hAnsi="宋体"/>
          <w:b/>
          <w:bCs/>
          <w:spacing w:val="6"/>
          <w:sz w:val="44"/>
          <w:szCs w:val="44"/>
        </w:rPr>
        <w:t>4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年</w:t>
      </w:r>
      <w:r>
        <w:rPr>
          <w:rFonts w:ascii="宋体" w:cs="仿宋" w:hAnsi="宋体"/>
          <w:b/>
          <w:bCs/>
          <w:spacing w:val="6"/>
          <w:sz w:val="44"/>
          <w:szCs w:val="44"/>
        </w:rPr>
        <w:t>城区绿化养护资金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项目绩效</w:t>
      </w:r>
      <w:r>
        <w:rPr>
          <w:rFonts w:ascii="宋体" w:cs="仿宋" w:hAnsi="宋体"/>
          <w:b/>
          <w:bCs/>
          <w:spacing w:val="6"/>
          <w:sz w:val="44"/>
          <w:szCs w:val="44"/>
        </w:rPr>
        <w:t>财政重点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评价报告</w:t>
      </w:r>
    </w:p>
    <w:p>
      <w:pPr>
        <w:ind w:left="0" w:firstLineChars="2050" w:firstLine="6560"/>
        <w:rPr>
          <w:rFonts w:ascii="仿宋" w:eastAsia="仿宋" w:cs="仿宋_GB2312" w:hint="eastAsia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  <w:lang w:val="en-US" w:eastAsia="zh-CN"/>
        </w:rPr>
        <w:t>——</w:t>
      </w:r>
      <w:r>
        <w:rPr>
          <w:rFonts w:ascii="仿宋" w:eastAsia="仿宋" w:cs="仿宋_GB2312" w:hint="eastAsia"/>
          <w:sz w:val="32"/>
          <w:szCs w:val="32"/>
        </w:rPr>
        <w:t>资合</w:t>
      </w:r>
      <w:r>
        <w:rPr>
          <w:rFonts w:ascii="仿宋" w:eastAsia="仿宋" w:cs="仿宋_GB2312"/>
          <w:sz w:val="32"/>
          <w:szCs w:val="32"/>
        </w:rPr>
        <w:t>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64"/>
        <w:jc w:val="both"/>
        <w:textAlignment w:val="auto"/>
        <w:outlineLvl w:val="9"/>
        <w:rPr>
          <w:rFonts w:ascii="仿宋" w:eastAsia="仿宋" w:cs="仿宋" w:hint="eastAsia"/>
          <w:b w:val="0"/>
          <w:bCs/>
          <w:spacing w:val="6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按照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《唐山市丰南区关于全面实施预算绩效管理推进工作实施方案》（丰财预[2019]9号）和《唐山市丰南区项目支出绩效重点评价管理办法》（丰财监[2020]3号）要求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，我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股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对202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4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城区绿化养护资金项目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开展绩效重点评价工作，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  <w:lang w:eastAsia="zh-CN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firstLineChars="200" w:firstLine="664"/>
        <w:rPr>
          <w:rFonts w:ascii="仿宋" w:eastAsia="仿宋" w:cs="仿宋" w:hint="eastAsia"/>
          <w:b/>
          <w:bCs/>
          <w:spacing w:val="6"/>
          <w:sz w:val="32"/>
          <w:szCs w:val="32"/>
          <w:shd w:val="clear" w:color="auto" w:fill="auto"/>
        </w:rPr>
      </w:pPr>
      <w:r>
        <w:rPr>
          <w:rFonts w:ascii="仿宋" w:eastAsia="仿宋" w:cs="仿宋"/>
          <w:b/>
          <w:bCs/>
          <w:spacing w:val="6"/>
          <w:sz w:val="32"/>
          <w:szCs w:val="32"/>
          <w:shd w:val="clear" w:color="auto" w:fill="auto"/>
        </w:rPr>
        <w:t>一、</w:t>
      </w:r>
      <w:r>
        <w:rPr>
          <w:rFonts w:ascii="仿宋" w:eastAsia="仿宋" w:cs="仿宋" w:hint="eastAsia"/>
          <w:b/>
          <w:bCs/>
          <w:spacing w:val="6"/>
          <w:sz w:val="32"/>
          <w:szCs w:val="32"/>
          <w:shd w:val="clear" w:color="auto" w:fill="auto"/>
        </w:rPr>
        <w:t>评价工作组织开展情况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firstLineChars="200" w:firstLine="640"/>
        <w:rPr>
          <w:rFonts w:ascii="仿宋" w:eastAsia="仿宋" w:cs="仿宋" w:hint="eastAsia"/>
          <w:spacing w:val="6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成立</w:t>
      </w:r>
      <w:r>
        <w:rPr>
          <w:rFonts w:ascii="仿宋" w:eastAsia="仿宋" w:cs="仿宋"/>
          <w:b w:val="0"/>
          <w:bCs w:val="0"/>
          <w:sz w:val="32"/>
          <w:szCs w:val="32"/>
          <w:shd w:val="clear" w:color="auto" w:fill="auto"/>
        </w:rPr>
        <w:t>由部门预算主管股室分管局领导任组长，股长任副组长，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监督评价</w:t>
      </w:r>
      <w:r>
        <w:rPr>
          <w:rFonts w:ascii="仿宋" w:eastAsia="仿宋" w:cs="仿宋_GB2312"/>
          <w:sz w:val="32"/>
          <w:szCs w:val="32"/>
          <w:lang w:val="en-US" w:eastAsia="zh-CN"/>
        </w:rPr>
        <w:t>股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、</w:t>
      </w:r>
      <w:r>
        <w:rPr>
          <w:rFonts w:ascii="仿宋" w:eastAsia="仿宋" w:cs="仿宋_GB2312"/>
          <w:sz w:val="32"/>
          <w:szCs w:val="32"/>
          <w:lang w:val="en-US" w:eastAsia="zh-CN"/>
        </w:rPr>
        <w:t>资合股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工作人员为成员的</w:t>
      </w: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绩效评价工作组</w:t>
      </w:r>
      <w:r>
        <w:rPr>
          <w:rFonts w:ascii="仿宋" w:eastAsia="仿宋" w:cs="仿宋"/>
          <w:b w:val="0"/>
          <w:bCs w:val="0"/>
          <w:sz w:val="32"/>
          <w:szCs w:val="32"/>
          <w:shd w:val="clear" w:color="auto" w:fill="auto"/>
        </w:rPr>
        <w:t>，</w:t>
      </w: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评价对象为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202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4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城区绿化养护资金项目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。</w:t>
      </w:r>
      <w:r>
        <w:rPr>
          <w:rFonts w:ascii="仿宋" w:eastAsia="仿宋" w:cs="仿宋"/>
          <w:sz w:val="32"/>
          <w:szCs w:val="32"/>
          <w:shd w:val="clear" w:color="auto" w:fill="auto"/>
        </w:rPr>
        <w:t>针对项目，研究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制定了绩效评价工作方案，对评价对象和目的、评价内容及评分标准等做出明确规定。</w:t>
      </w:r>
    </w:p>
    <w:p>
      <w:pPr>
        <w:snapToGrid w:val="0"/>
        <w:spacing w:after="0" w:line="560" w:lineRule="exact"/>
        <w:ind w:firstLine="599"/>
        <w:rPr>
          <w:rFonts w:ascii="仿宋" w:eastAsia="仿宋" w:cs="仿宋" w:hint="eastAsia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sz w:val="32"/>
          <w:szCs w:val="32"/>
          <w:shd w:val="clear" w:color="auto" w:fill="auto"/>
        </w:rPr>
        <w:t>工作组通过收集、分析、对比基础资料，深入了解项目开展情况，对项目进行定量、定性分析，形成最终评价报告。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64"/>
        <w:jc w:val="both"/>
        <w:textAlignment w:val="auto"/>
        <w:outlineLvl w:val="9"/>
        <w:rPr>
          <w:rFonts w:ascii="仿宋" w:eastAsia="仿宋" w:cs="仿宋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" w:eastAsia="仿宋" w:cs="仿宋" w:hint="eastAsia"/>
          <w:b/>
          <w:bCs/>
          <w:spacing w:val="6"/>
          <w:sz w:val="32"/>
          <w:szCs w:val="32"/>
        </w:rPr>
        <w:t>二、</w:t>
      </w:r>
      <w:r>
        <w:rPr>
          <w:rFonts w:ascii="仿宋" w:eastAsia="仿宋" w:cs="仿宋" w:hint="eastAsia"/>
          <w:b/>
          <w:bCs/>
          <w:spacing w:val="6"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（一）立项背景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sz w:val="32"/>
          <w:szCs w:val="32"/>
          <w:shd w:val="clear" w:color="auto" w:fill="auto"/>
        </w:rPr>
        <w:t>根据《城区绿化养护全部由园林处自管的批示》（丰建呈【2017】97号）丰南区绿化养护工作由园林绿化站自管。园林绿化站为全额事业单位，全部资金为财政拨款。</w:t>
      </w:r>
      <w:r>
        <w:rPr>
          <w:rFonts w:ascii="仿宋" w:eastAsia="仿宋" w:cs="仿宋"/>
          <w:sz w:val="32"/>
          <w:szCs w:val="32"/>
          <w:shd w:val="clear" w:color="auto" w:fill="auto"/>
        </w:rPr>
        <w:t>该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单位按照丰南区财政投资评审中心出具的《2020年5月至2023年5月丰南城区绿化养护评审报告》（丰财评【2020】53号），对城区绿化养护费用进行核实，</w:t>
      </w:r>
      <w:r>
        <w:rPr>
          <w:rFonts w:ascii="仿宋" w:eastAsia="仿宋" w:cs="仿宋"/>
          <w:sz w:val="32"/>
          <w:szCs w:val="32"/>
          <w:shd w:val="clear" w:color="auto" w:fill="auto"/>
        </w:rPr>
        <w:t>确定我区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绿化养护面积646.24万平方米。城区园林绿化项目资金符合国家、省、市、区相关政策文件要求，提交的文件、材料符合相关要求，符合相关法律法规。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（二）资金来源和使用情况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 w:cs="仿宋" w:hint="eastAsia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sz w:val="32"/>
          <w:szCs w:val="32"/>
          <w:shd w:val="clear" w:color="auto" w:fill="auto"/>
        </w:rPr>
        <w:t>该项目2024年年初预算安排2700万元，实际资金到位2700万元，资金执行到位2700万元，总体完成率100%。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Chars="200" w:firstLine="640"/>
        <w:textAlignment w:val="auto"/>
        <w:outlineLvl w:val="9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（三）绩效目标</w:t>
      </w:r>
    </w:p>
    <w:p>
      <w:pPr>
        <w:spacing w:line="520" w:lineRule="exact"/>
        <w:ind w:firstLineChars="200" w:firstLine="640"/>
        <w:rPr>
          <w:rFonts w:ascii="仿宋" w:eastAsia="仿宋" w:cs="仿宋" w:hint="eastAsia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sz w:val="32"/>
          <w:szCs w:val="32"/>
          <w:shd w:val="clear" w:color="auto" w:fill="auto"/>
        </w:rPr>
        <w:t>根据2024年预算项目内容，为了确保园林绿地更加整洁、优美、有序，有效巩固和提升我区文明城创建成果，为市民提供绿色生态、人与自然和谐共处的环境空间，通过对所辖绿地养护管理，达到以下绩效目标：1.保障绿化养护面积646.24万平方米绿化工程在专业指导下得到很好的生长和保持，养护完成率达到98%以上。2、完善城市绿化建设水平，保障城市绿化景观效果。3、保障城市绿化养护工作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Chars="200" w:firstLine="640"/>
        <w:textAlignment w:val="auto"/>
        <w:rPr>
          <w:rFonts w:ascii="仿宋" w:eastAsia="仿宋" w:cs="仿宋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三、</w:t>
      </w:r>
      <w:r>
        <w:rPr>
          <w:rFonts w:ascii="仿宋" w:eastAsia="仿宋" w:cs="仿宋" w:hint="eastAsia"/>
          <w:b/>
          <w:bCs/>
          <w:sz w:val="32"/>
          <w:szCs w:val="32"/>
        </w:rPr>
        <w:t>绩效评价情况</w:t>
      </w:r>
    </w:p>
    <w:p>
      <w:pPr>
        <w:spacing w:line="520" w:lineRule="exact"/>
        <w:ind w:left="0" w:firstLineChars="200" w:firstLine="640"/>
        <w:rPr>
          <w:rFonts w:ascii="仿宋" w:eastAsia="仿宋" w:cs="仿宋" w:hint="eastAsia"/>
          <w:sz w:val="32"/>
          <w:szCs w:val="32"/>
          <w:lang w:eastAsia="zh-CN"/>
          <w:highlight w:val="none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（一）</w:t>
      </w:r>
      <w:r>
        <w:rPr>
          <w:rFonts w:ascii="仿宋" w:eastAsia="仿宋" w:cs="仿宋" w:hint="eastAsia"/>
          <w:sz w:val="32"/>
          <w:szCs w:val="32"/>
          <w:lang w:eastAsia="zh-CN"/>
          <w:highlight w:val="none"/>
        </w:rPr>
        <w:t>项目绩效目标评价情况</w:t>
      </w:r>
    </w:p>
    <w:p>
      <w:pPr>
        <w:spacing w:line="520" w:lineRule="exact"/>
        <w:ind w:firstLineChars="200" w:firstLine="640"/>
        <w:rPr>
          <w:rFonts w:eastAsia="方正仿宋简体"/>
          <w:sz w:val="30"/>
          <w:szCs w:val="30"/>
        </w:rPr>
      </w:pPr>
      <w:r>
        <w:rPr>
          <w:rFonts w:ascii="仿宋" w:eastAsia="仿宋" w:cs="仿宋"/>
          <w:bCs/>
          <w:sz w:val="32"/>
          <w:szCs w:val="32"/>
          <w:shd w:val="clear" w:color="auto" w:fill="auto"/>
          <w:lang w:val="en-US" w:eastAsia="zh-CN" w:bidi="ar-SA"/>
        </w:rPr>
        <w:t>区住建局下属单位园林服务站</w:t>
      </w:r>
      <w:r>
        <w:rPr>
          <w:rFonts w:ascii="仿宋" w:eastAsia="仿宋" w:cs="仿宋" w:hint="eastAsia"/>
          <w:bCs/>
          <w:sz w:val="32"/>
          <w:szCs w:val="32"/>
          <w:shd w:val="clear" w:color="auto" w:fill="auto"/>
          <w:lang w:val="en-US" w:eastAsia="zh-CN" w:bidi="ar-SA"/>
        </w:rPr>
        <w:t>对年度绩效指标完成情况进了重点评价，</w:t>
      </w:r>
      <w:r>
        <w:rPr>
          <w:rFonts w:eastAsia="方正仿宋简体" w:hint="eastAsia"/>
          <w:sz w:val="30"/>
          <w:szCs w:val="30"/>
        </w:rPr>
        <w:t>产出指标（</w:t>
      </w:r>
      <w:r>
        <w:rPr>
          <w:rFonts w:eastAsia="方正仿宋简体"/>
          <w:sz w:val="30"/>
          <w:szCs w:val="30"/>
        </w:rPr>
        <w:t>50</w:t>
      </w:r>
      <w:r>
        <w:rPr>
          <w:rFonts w:eastAsia="方正仿宋简体" w:hint="eastAsia"/>
          <w:sz w:val="30"/>
          <w:szCs w:val="30"/>
        </w:rPr>
        <w:t>分）：数量指标（</w:t>
      </w:r>
      <w:r>
        <w:rPr>
          <w:rFonts w:eastAsia="方正仿宋简体"/>
          <w:sz w:val="30"/>
          <w:szCs w:val="30"/>
        </w:rPr>
        <w:t>15</w:t>
      </w:r>
      <w:r>
        <w:rPr>
          <w:rFonts w:eastAsia="方正仿宋简体" w:hint="eastAsia"/>
          <w:sz w:val="30"/>
          <w:szCs w:val="30"/>
        </w:rPr>
        <w:t>分），绿化养护面积大于等于</w:t>
      </w:r>
      <w:r>
        <w:rPr>
          <w:rFonts w:eastAsia="方正仿宋简体"/>
          <w:sz w:val="30"/>
          <w:szCs w:val="30"/>
        </w:rPr>
        <w:t>646.24</w:t>
      </w:r>
      <w:r>
        <w:rPr>
          <w:rFonts w:eastAsia="方正仿宋简体" w:hint="eastAsia"/>
          <w:sz w:val="30"/>
          <w:szCs w:val="30"/>
        </w:rPr>
        <w:t>万平方米。质量指标（</w:t>
      </w:r>
      <w:r>
        <w:rPr>
          <w:rFonts w:eastAsia="方正仿宋简体"/>
          <w:sz w:val="30"/>
          <w:szCs w:val="30"/>
        </w:rPr>
        <w:t>10</w:t>
      </w:r>
      <w:r>
        <w:rPr>
          <w:rFonts w:eastAsia="方正仿宋简体" w:hint="eastAsia"/>
          <w:sz w:val="30"/>
          <w:szCs w:val="30"/>
        </w:rPr>
        <w:t>分）绿化成活率大于等于</w:t>
      </w:r>
      <w:r>
        <w:rPr>
          <w:rFonts w:eastAsia="方正仿宋简体"/>
          <w:sz w:val="30"/>
          <w:szCs w:val="30"/>
        </w:rPr>
        <w:t>90%</w:t>
      </w:r>
      <w:r>
        <w:rPr>
          <w:rFonts w:eastAsia="方正仿宋简体" w:hint="eastAsia"/>
          <w:sz w:val="30"/>
          <w:szCs w:val="30"/>
        </w:rPr>
        <w:t>，做到基本无枯死株、无明显缺株，篱下无杂草，整齐美观。时效指标（</w:t>
      </w:r>
      <w:r>
        <w:rPr>
          <w:rFonts w:eastAsia="方正仿宋简体"/>
          <w:sz w:val="30"/>
          <w:szCs w:val="30"/>
        </w:rPr>
        <w:t>10</w:t>
      </w:r>
      <w:r>
        <w:rPr>
          <w:rFonts w:eastAsia="方正仿宋简体" w:hint="eastAsia"/>
          <w:sz w:val="30"/>
          <w:szCs w:val="30"/>
        </w:rPr>
        <w:t>分）破损植被修复天数小于等于</w:t>
      </w:r>
      <w:r>
        <w:rPr>
          <w:rFonts w:eastAsia="方正仿宋简体"/>
          <w:sz w:val="30"/>
          <w:szCs w:val="30"/>
        </w:rPr>
        <w:t>10</w:t>
      </w:r>
      <w:r>
        <w:rPr>
          <w:rFonts w:eastAsia="方正仿宋简体" w:hint="eastAsia"/>
          <w:sz w:val="30"/>
          <w:szCs w:val="30"/>
        </w:rPr>
        <w:t>天，及时修复绿化养护缺损，保证整齐美观。成本指标（</w:t>
      </w:r>
      <w:r>
        <w:rPr>
          <w:rFonts w:eastAsia="方正仿宋简体"/>
          <w:sz w:val="30"/>
          <w:szCs w:val="30"/>
        </w:rPr>
        <w:t>15</w:t>
      </w:r>
      <w:r>
        <w:rPr>
          <w:rFonts w:eastAsia="方正仿宋简体" w:hint="eastAsia"/>
          <w:sz w:val="30"/>
          <w:szCs w:val="30"/>
        </w:rPr>
        <w:t>分），控制在预算金额</w:t>
      </w:r>
      <w:r>
        <w:rPr>
          <w:rFonts w:eastAsia="方正仿宋简体"/>
          <w:sz w:val="30"/>
          <w:szCs w:val="30"/>
        </w:rPr>
        <w:t>2700</w:t>
      </w:r>
      <w:r>
        <w:rPr>
          <w:rFonts w:eastAsia="方正仿宋简体" w:hint="eastAsia"/>
          <w:sz w:val="30"/>
          <w:szCs w:val="30"/>
        </w:rPr>
        <w:t>万元之内</w:t>
      </w:r>
      <w:r>
        <w:rPr>
          <w:rFonts w:eastAsia="方正仿宋简体"/>
          <w:sz w:val="30"/>
          <w:szCs w:val="30"/>
        </w:rPr>
        <w:t>；</w:t>
      </w:r>
      <w:r>
        <w:rPr>
          <w:rFonts w:eastAsia="方正仿宋简体" w:hint="eastAsia"/>
          <w:sz w:val="30"/>
          <w:szCs w:val="30"/>
        </w:rPr>
        <w:t>效益指标</w:t>
      </w:r>
      <w:r>
        <w:rPr>
          <w:rFonts w:eastAsia="方正仿宋简体"/>
          <w:sz w:val="30"/>
          <w:szCs w:val="30"/>
        </w:rPr>
        <w:t>(30</w:t>
      </w:r>
      <w:r>
        <w:rPr>
          <w:rFonts w:eastAsia="方正仿宋简体" w:hint="eastAsia"/>
          <w:sz w:val="30"/>
          <w:szCs w:val="30"/>
        </w:rPr>
        <w:t>分</w:t>
      </w:r>
      <w:r>
        <w:rPr>
          <w:rFonts w:eastAsia="方正仿宋简体"/>
          <w:sz w:val="30"/>
          <w:szCs w:val="30"/>
        </w:rPr>
        <w:t>)</w:t>
      </w:r>
      <w:r>
        <w:rPr>
          <w:rFonts w:eastAsia="方正仿宋简体" w:hint="eastAsia"/>
          <w:sz w:val="30"/>
          <w:szCs w:val="30"/>
        </w:rPr>
        <w:t>：经济效益指标（</w:t>
      </w:r>
      <w:r>
        <w:rPr>
          <w:rFonts w:eastAsia="方正仿宋简体"/>
          <w:sz w:val="30"/>
          <w:szCs w:val="30"/>
        </w:rPr>
        <w:t>10</w:t>
      </w:r>
      <w:r>
        <w:rPr>
          <w:rFonts w:eastAsia="方正仿宋简体" w:hint="eastAsia"/>
          <w:sz w:val="30"/>
          <w:szCs w:val="30"/>
        </w:rPr>
        <w:t>分）绿化养护管理得当，在创造城市景观，为人们提供游览、休憩、文化娱乐、体育活动等场所，改善人们的生活环境方面成效较好。促进经济发展。社会效益指标（</w:t>
      </w:r>
      <w:r>
        <w:rPr>
          <w:rFonts w:eastAsia="方正仿宋简体"/>
          <w:sz w:val="30"/>
          <w:szCs w:val="30"/>
        </w:rPr>
        <w:t>10</w:t>
      </w:r>
      <w:r>
        <w:rPr>
          <w:rFonts w:eastAsia="方正仿宋简体" w:hint="eastAsia"/>
          <w:sz w:val="30"/>
          <w:szCs w:val="30"/>
        </w:rPr>
        <w:t>分）绿化养护对调节城市温度和空气湿度，防风固沙等生态环境方面成效较好。可持续影响指标（</w:t>
      </w:r>
      <w:r>
        <w:rPr>
          <w:rFonts w:eastAsia="方正仿宋简体"/>
          <w:sz w:val="30"/>
          <w:szCs w:val="30"/>
        </w:rPr>
        <w:t>10</w:t>
      </w:r>
      <w:r>
        <w:rPr>
          <w:rFonts w:eastAsia="方正仿宋简体" w:hint="eastAsia"/>
          <w:sz w:val="30"/>
          <w:szCs w:val="30"/>
        </w:rPr>
        <w:t>分）促进经济的可持续发展</w:t>
      </w:r>
      <w:r>
        <w:rPr>
          <w:rFonts w:eastAsia="方正仿宋简体"/>
          <w:sz w:val="30"/>
          <w:szCs w:val="30"/>
        </w:rPr>
        <w:t>；</w:t>
      </w:r>
      <w:r>
        <w:rPr>
          <w:rFonts w:eastAsia="方正仿宋简体" w:hint="eastAsia"/>
          <w:sz w:val="30"/>
          <w:szCs w:val="30"/>
        </w:rPr>
        <w:t>满意度指标（</w:t>
      </w:r>
      <w:r>
        <w:rPr>
          <w:rFonts w:eastAsia="方正仿宋简体"/>
          <w:sz w:val="30"/>
          <w:szCs w:val="30"/>
        </w:rPr>
        <w:t>10</w:t>
      </w:r>
      <w:r>
        <w:rPr>
          <w:rFonts w:eastAsia="方正仿宋简体" w:hint="eastAsia"/>
          <w:sz w:val="30"/>
          <w:szCs w:val="30"/>
        </w:rPr>
        <w:t>分）：社会公众调查满意度达到</w:t>
      </w:r>
      <w:r>
        <w:rPr>
          <w:rFonts w:eastAsia="方正仿宋简体"/>
          <w:sz w:val="30"/>
          <w:szCs w:val="30"/>
        </w:rPr>
        <w:t>85%</w:t>
      </w:r>
      <w:r>
        <w:rPr>
          <w:rFonts w:eastAsia="方正仿宋简体" w:hint="eastAsia"/>
          <w:sz w:val="30"/>
          <w:szCs w:val="30"/>
        </w:rPr>
        <w:t>以上</w:t>
      </w:r>
      <w:r>
        <w:rPr>
          <w:rFonts w:eastAsia="方正仿宋简体"/>
          <w:sz w:val="30"/>
          <w:szCs w:val="30"/>
        </w:rPr>
        <w:t>；</w:t>
      </w:r>
      <w:r>
        <w:rPr>
          <w:rFonts w:eastAsia="方正仿宋简体" w:hint="eastAsia"/>
          <w:sz w:val="30"/>
          <w:szCs w:val="30"/>
        </w:rPr>
        <w:t>预算执行率（</w:t>
      </w:r>
      <w:r>
        <w:rPr>
          <w:rFonts w:eastAsia="方正仿宋简体"/>
          <w:sz w:val="30"/>
          <w:szCs w:val="30"/>
        </w:rPr>
        <w:t>10</w:t>
      </w:r>
      <w:r>
        <w:rPr>
          <w:rFonts w:eastAsia="方正仿宋简体" w:hint="eastAsia"/>
          <w:sz w:val="30"/>
          <w:szCs w:val="30"/>
        </w:rPr>
        <w:t>分）：预算执行进度</w:t>
      </w:r>
      <w:r>
        <w:rPr>
          <w:rFonts w:eastAsia="方正仿宋简体"/>
          <w:sz w:val="30"/>
          <w:szCs w:val="30"/>
        </w:rPr>
        <w:t>100%</w:t>
      </w:r>
      <w:r>
        <w:rPr>
          <w:rFonts w:eastAsia="方正仿宋简体" w:hint="eastAsia"/>
          <w:sz w:val="30"/>
          <w:szCs w:val="30"/>
        </w:rPr>
        <w:t>。</w:t>
      </w:r>
    </w:p>
    <w:p>
      <w:pPr>
        <w:spacing w:line="360" w:lineRule="auto"/>
        <w:ind w:firstLineChars="250" w:firstLine="80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</w:t>
      </w:r>
      <w:r>
        <w:rPr>
          <w:rFonts w:ascii="仿宋" w:eastAsia="仿宋" w:cs="仿宋" w:hint="eastAsia"/>
          <w:sz w:val="32"/>
          <w:szCs w:val="32"/>
          <w:lang w:eastAsia="zh-CN"/>
        </w:rPr>
        <w:t>二）评价结论</w:t>
      </w:r>
    </w:p>
    <w:p>
      <w:pPr>
        <w:spacing w:line="360" w:lineRule="auto"/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bCs/>
          <w:sz w:val="32"/>
          <w:szCs w:val="32"/>
        </w:rPr>
        <w:t>项目的实施，极大地改善了城镇居民生活环境，不但具有极大地社会效益，经济效益，还发挥着巨大的环境效益，得到社会的普遍认可。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 w:cs="仿宋" w:hAnsi="宋体" w:hint="eastAsia"/>
          <w:bCs/>
          <w:sz w:val="32"/>
          <w:szCs w:val="32"/>
          <w:lang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lang w:eastAsia="zh-CN"/>
        </w:rPr>
        <w:t>项目综合评价得分90分，评价等级优</w:t>
      </w:r>
      <w:r>
        <w:rPr>
          <w:rFonts w:ascii="仿宋" w:eastAsia="仿宋" w:cs="仿宋" w:hAnsi="宋体"/>
          <w:bCs/>
          <w:sz w:val="32"/>
          <w:szCs w:val="32"/>
          <w:lang w:eastAsia="zh-CN"/>
        </w:rPr>
        <w:t>秀</w:t>
      </w:r>
      <w:r>
        <w:rPr>
          <w:rFonts w:ascii="仿宋" w:eastAsia="仿宋" w:cs="仿宋" w:hAnsi="宋体" w:hint="eastAsia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firstLineChars="200" w:firstLine="640"/>
        <w:rPr>
          <w:rFonts w:ascii="仿宋" w:eastAsia="仿宋" w:cs="仿宋" w:hint="eastAsia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b/>
          <w:bCs/>
          <w:sz w:val="32"/>
          <w:szCs w:val="32"/>
        </w:rPr>
        <w:t>存在问题及改进建议</w:t>
      </w:r>
    </w:p>
    <w:p>
      <w:pPr>
        <w:ind w:left="0" w:firstLine="600"/>
        <w:rPr>
          <w:rFonts w:ascii="仿宋" w:eastAsia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bCs/>
          <w:sz w:val="32"/>
          <w:szCs w:val="32"/>
        </w:rPr>
        <w:t>存在问题：</w:t>
      </w:r>
      <w:r>
        <w:rPr>
          <w:rFonts w:ascii="仿宋" w:eastAsia="仿宋" w:hint="eastAsia"/>
          <w:sz w:val="32"/>
          <w:szCs w:val="32"/>
          <w:lang w:val="en-US" w:eastAsia="zh-CN"/>
          <w:highlight w:val="none"/>
        </w:rPr>
        <w:t>预算绩效管理有待进一步加强。绩效目标指标设置量化程度不高，对绩效管理工作缺乏整体系统的认识，绩效理念有待提高。</w:t>
      </w:r>
    </w:p>
    <w:p>
      <w:pPr>
        <w:spacing w:line="360" w:lineRule="auto"/>
        <w:ind w:firstLine="636"/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>改进建议：在今后编制绩效目标指标时，要编制量化的、可衡量的绩效指标。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both"/>
        <w:textAlignment w:val="auto"/>
        <w:rPr>
          <w:rFonts w:ascii="仿宋" w:eastAsia="仿宋" w:cs="仿宋" w:hAnsi="宋体" w:hint="eastAsia"/>
          <w:bCs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both"/>
        <w:textAlignment w:val="auto"/>
        <w:rPr>
          <w:rFonts w:ascii="仿宋" w:eastAsia="仿宋" w:cs="仿宋" w:hAnsi="宋体" w:hint="eastAsia"/>
          <w:sz w:val="32"/>
          <w:szCs w:val="32"/>
          <w:shd w:val="clear" w:color="auto" w:fill="auto"/>
        </w:rPr>
      </w:pPr>
      <w:r>
        <w:rPr>
          <w:rFonts w:ascii="仿宋" w:eastAsia="仿宋" w:cs="仿宋" w:hAnsi="宋体"/>
          <w:sz w:val="32"/>
          <w:szCs w:val="32"/>
          <w:shd w:val="clear" w:color="auto" w:fill="auto"/>
        </w:rPr>
        <w:t xml:space="preserve">                              2025年5月14日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rPr>
      <w:rFonts w:ascii="方正书宋_GBK" w:eastAsia="方正书宋_GBK" w:cs="方正书宋_GBK" w:hAnsi="Times New Roman"/>
      <w:sz w:val="21"/>
      <w:szCs w:val="24"/>
      <w:lang w:val="en-US" w:eastAsia="uk-UA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方正书宋_GBK" w:eastAsia="方正书宋_GBK" w:cs="方正书宋_GBK" w:hAnsi="Times New Roman"/>
      <w:b/>
      <w:bCs/>
      <w:kern w:val="44"/>
      <w:sz w:val="44"/>
      <w:szCs w:val="44"/>
      <w:lang w:val="en-US" w:eastAsia="uk-UA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方正书宋_GBK" w:hAnsi="Times New Roman"/>
      <w:b/>
      <w:bCs/>
      <w:sz w:val="32"/>
      <w:szCs w:val="32"/>
      <w:lang w:val="en-US" w:eastAsia="uk-UA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方正书宋_GBK" w:eastAsia="方正书宋_GBK" w:cs="方正书宋_GBK" w:hAnsi="Times New Roman"/>
      <w:b/>
      <w:bCs/>
      <w:sz w:val="32"/>
      <w:szCs w:val="32"/>
      <w:lang w:val="en-US" w:eastAsia="uk-UA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BB0EA87-58D0-46FA-87F5-A348CFB9D75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4076</TotalTime>
  <Application>Yozo_Office9.0.5780.101ZH</Application>
  <Pages>4</Pages>
  <Words>0</Words>
  <Characters>1136</Characters>
  <Lines>0</Lines>
  <Paragraphs>26</Paragraphs>
  <CharactersWithSpaces>1515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</cp:lastModifiedBy>
  <cp:revision>4</cp:revision>
  <dcterms:created xsi:type="dcterms:W3CDTF">2021-05-08T07:28:00Z</dcterms:created>
  <dcterms:modified xsi:type="dcterms:W3CDTF">2025-05-15T02:08:16Z</dcterms:modified>
</cp:coreProperties>
</file>