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宋体" w:hAnsi="宋体" w:hint="eastAsia"/>
          <w:b/>
          <w:bCs/>
          <w:spacing w:val="6"/>
          <w:sz w:val="44"/>
          <w:szCs w:val="44"/>
          <w:lang w:eastAsia="zh-CN"/>
        </w:rPr>
      </w:pPr>
      <w:r>
        <w:rPr>
          <w:rFonts w:ascii="宋体" w:cs="宋体" w:hAnsi="宋体"/>
          <w:b/>
          <w:bCs/>
          <w:spacing w:val="6"/>
          <w:sz w:val="44"/>
          <w:szCs w:val="44"/>
          <w:lang w:eastAsia="zh-CN"/>
        </w:rPr>
        <w:t>关于开展对区交通局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outlineLvl w:val="9"/>
        <w:rPr>
          <w:rFonts w:ascii="宋体" w:cs="仿宋" w:hAnsi="宋体"/>
          <w:b/>
          <w:bCs/>
          <w:spacing w:val="6"/>
          <w:sz w:val="44"/>
          <w:szCs w:val="44"/>
        </w:rPr>
      </w:pPr>
      <w:r>
        <w:rPr>
          <w:rFonts w:ascii="宋体" w:cs="仿宋" w:hAnsi="宋体" w:hint="eastAsia"/>
          <w:b/>
          <w:bCs/>
          <w:spacing w:val="6"/>
          <w:sz w:val="44"/>
          <w:szCs w:val="44"/>
        </w:rPr>
        <w:t>202</w:t>
      </w:r>
      <w:r>
        <w:rPr>
          <w:rFonts w:ascii="宋体" w:cs="仿宋" w:hAnsi="宋体"/>
          <w:b/>
          <w:bCs/>
          <w:spacing w:val="6"/>
          <w:sz w:val="44"/>
          <w:szCs w:val="44"/>
        </w:rPr>
        <w:t>4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年</w:t>
      </w:r>
      <w:r>
        <w:rPr>
          <w:rFonts w:ascii="宋体" w:cs="仿宋" w:hAnsi="宋体"/>
          <w:b/>
          <w:bCs/>
          <w:spacing w:val="6"/>
          <w:sz w:val="44"/>
          <w:szCs w:val="44"/>
        </w:rPr>
        <w:t>国省干线公路养护管理经费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项目绩效</w:t>
      </w:r>
      <w:r>
        <w:rPr>
          <w:rFonts w:ascii="宋体" w:cs="仿宋" w:hAnsi="宋体"/>
          <w:b/>
          <w:bCs/>
          <w:spacing w:val="6"/>
          <w:sz w:val="44"/>
          <w:szCs w:val="44"/>
        </w:rPr>
        <w:t>财政重点</w:t>
      </w:r>
      <w:r>
        <w:rPr>
          <w:rFonts w:ascii="宋体" w:cs="仿宋" w:hAnsi="宋体" w:hint="eastAsia"/>
          <w:b/>
          <w:bCs/>
          <w:spacing w:val="6"/>
          <w:sz w:val="44"/>
          <w:szCs w:val="44"/>
        </w:rPr>
        <w:t>评价报告</w:t>
      </w:r>
    </w:p>
    <w:p>
      <w:pPr>
        <w:ind w:left="0" w:firstLineChars="2050" w:firstLine="6560"/>
        <w:rPr>
          <w:rFonts w:ascii="仿宋" w:eastAsia="仿宋" w:cs="仿宋_GB2312" w:hint="eastAsia"/>
          <w:sz w:val="32"/>
          <w:szCs w:val="32"/>
        </w:rPr>
      </w:pPr>
      <w:r>
        <w:rPr>
          <w:rFonts w:ascii="华文仿宋" w:eastAsia="华文仿宋" w:cs="华文仿宋" w:hint="eastAsia"/>
          <w:sz w:val="32"/>
          <w:szCs w:val="32"/>
          <w:lang w:val="en-US" w:eastAsia="zh-CN"/>
        </w:rPr>
        <w:t>——</w:t>
      </w:r>
      <w:r>
        <w:rPr>
          <w:rFonts w:ascii="仿宋" w:eastAsia="仿宋" w:cs="仿宋_GB2312" w:hint="eastAsia"/>
          <w:sz w:val="32"/>
          <w:szCs w:val="32"/>
        </w:rPr>
        <w:t>资合</w:t>
      </w:r>
      <w:r>
        <w:rPr>
          <w:rFonts w:ascii="仿宋" w:eastAsia="仿宋" w:cs="仿宋_GB2312"/>
          <w:sz w:val="32"/>
          <w:szCs w:val="32"/>
        </w:rPr>
        <w:t>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 w:val="0"/>
          <w:bCs/>
          <w:spacing w:val="6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按照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《唐山市丰南区关于全面实施预算绩效管理推进工作实施方案》（丰财预[2019]9号）和《唐山市丰南区项目支出绩效重点评价管理办法》（丰财监[2020]3号）要求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，我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股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对202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4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国省干线公路养护管理经费</w:t>
      </w:r>
      <w:r>
        <w:rPr>
          <w:rFonts w:ascii="仿宋" w:eastAsia="仿宋" w:cs="仿宋" w:hint="eastAsia"/>
          <w:bCs/>
          <w:spacing w:val="6"/>
          <w:sz w:val="32"/>
          <w:szCs w:val="32"/>
        </w:rPr>
        <w:t>项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目开展绩效重点评价工作，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  <w:lang w:eastAsia="zh-CN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64"/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/>
          <w:b/>
          <w:bCs/>
          <w:spacing w:val="6"/>
          <w:sz w:val="32"/>
          <w:szCs w:val="32"/>
          <w:shd w:val="clear" w:color="auto" w:fill="auto"/>
        </w:rPr>
        <w:t>一、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shd w:val="clear" w:color="auto" w:fill="auto"/>
        </w:rPr>
        <w:t>评价工作组织开展情况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int="eastAsia"/>
          <w:spacing w:val="6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成立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由部门预算主管股室分管局领导任组长，股长任副组长，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监督评价</w:t>
      </w:r>
      <w:r>
        <w:rPr>
          <w:rFonts w:ascii="仿宋" w:eastAsia="仿宋" w:cs="仿宋_GB2312"/>
          <w:sz w:val="32"/>
          <w:szCs w:val="32"/>
          <w:lang w:val="en-US" w:eastAsia="zh-CN"/>
        </w:rPr>
        <w:t>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、</w:t>
      </w:r>
      <w:r>
        <w:rPr>
          <w:rFonts w:ascii="仿宋" w:eastAsia="仿宋" w:cs="仿宋_GB2312"/>
          <w:sz w:val="32"/>
          <w:szCs w:val="32"/>
          <w:lang w:val="en-US" w:eastAsia="zh-CN"/>
        </w:rPr>
        <w:t>资合股</w:t>
      </w:r>
      <w:r>
        <w:rPr>
          <w:rFonts w:ascii="仿宋" w:eastAsia="仿宋" w:cs="仿宋_GB2312" w:hint="eastAsia"/>
          <w:sz w:val="32"/>
          <w:szCs w:val="32"/>
          <w:lang w:val="en-US" w:eastAsia="zh-CN"/>
        </w:rPr>
        <w:t>工作人员为成员的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绩效评价工作组</w:t>
      </w:r>
      <w:r>
        <w:rPr>
          <w:rFonts w:ascii="仿宋" w:eastAsia="仿宋" w:cs="仿宋"/>
          <w:b w:val="0"/>
          <w:bCs w:val="0"/>
          <w:sz w:val="32"/>
          <w:szCs w:val="32"/>
          <w:shd w:val="clear" w:color="auto" w:fill="auto"/>
        </w:rPr>
        <w:t>，</w:t>
      </w:r>
      <w:r>
        <w:rPr>
          <w:rFonts w:ascii="仿宋" w:eastAsia="仿宋" w:cs="仿宋" w:hint="eastAsia"/>
          <w:b w:val="0"/>
          <w:bCs w:val="0"/>
          <w:sz w:val="32"/>
          <w:szCs w:val="32"/>
          <w:shd w:val="clear" w:color="auto" w:fill="auto"/>
        </w:rPr>
        <w:t>评价对象为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202</w:t>
      </w:r>
      <w:r>
        <w:rPr>
          <w:rFonts w:ascii="仿宋" w:eastAsia="仿宋" w:cs="仿宋"/>
          <w:b w:val="0"/>
          <w:bCs/>
          <w:spacing w:val="6"/>
          <w:sz w:val="32"/>
          <w:szCs w:val="32"/>
        </w:rPr>
        <w:t>4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年</w:t>
      </w:r>
      <w:r>
        <w:rPr>
          <w:rFonts w:ascii="仿宋" w:eastAsia="仿宋" w:cs="仿宋"/>
          <w:bCs/>
          <w:spacing w:val="6"/>
          <w:sz w:val="32"/>
          <w:szCs w:val="32"/>
        </w:rPr>
        <w:t>国省干线公路养护管理经费</w:t>
      </w:r>
      <w:r>
        <w:rPr>
          <w:rFonts w:ascii="仿宋" w:eastAsia="仿宋" w:cs="仿宋" w:hint="eastAsia"/>
          <w:bCs/>
          <w:spacing w:val="6"/>
          <w:sz w:val="32"/>
          <w:szCs w:val="32"/>
        </w:rPr>
        <w:t>项</w:t>
      </w:r>
      <w:r>
        <w:rPr>
          <w:rFonts w:ascii="仿宋" w:eastAsia="仿宋" w:cs="仿宋" w:hint="eastAsia"/>
          <w:b w:val="0"/>
          <w:bCs/>
          <w:spacing w:val="6"/>
          <w:sz w:val="32"/>
          <w:szCs w:val="32"/>
        </w:rPr>
        <w:t>目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。</w:t>
      </w:r>
      <w:r>
        <w:rPr>
          <w:rFonts w:ascii="仿宋" w:eastAsia="仿宋" w:cs="仿宋"/>
          <w:sz w:val="32"/>
          <w:szCs w:val="32"/>
          <w:shd w:val="clear" w:color="auto" w:fill="auto"/>
        </w:rPr>
        <w:t>针对项目，研究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制定了绩效评价工作方案，对评价对象和目的、评价内容及评分标准等做出明确规定。</w:t>
      </w:r>
    </w:p>
    <w:p>
      <w:pPr>
        <w:snapToGrid w:val="0"/>
        <w:spacing w:after="0" w:line="560" w:lineRule="exact"/>
        <w:ind w:firstLine="599"/>
        <w:rPr>
          <w:rFonts w:ascii="仿宋" w:eastAsia="仿宋" w:cs="仿宋" w:hint="eastAsia"/>
          <w:sz w:val="32"/>
          <w:szCs w:val="32"/>
          <w:shd w:val="clear" w:color="auto" w:fill="auto"/>
        </w:rPr>
      </w:pPr>
      <w:r>
        <w:rPr>
          <w:rFonts w:ascii="仿宋" w:eastAsia="仿宋" w:cs="仿宋" w:hint="eastAsia"/>
          <w:sz w:val="32"/>
          <w:szCs w:val="32"/>
          <w:shd w:val="clear" w:color="auto" w:fill="auto"/>
        </w:rPr>
        <w:t>工作组通过收集、分析、对比基础资料，深入了解项目开展情况，对项目进行定量、定性分析，形成最终评价报告。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Chars="200" w:firstLine="664"/>
        <w:jc w:val="both"/>
        <w:textAlignment w:val="auto"/>
        <w:outlineLvl w:val="9"/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pacing w:val="6"/>
          <w:sz w:val="32"/>
          <w:szCs w:val="32"/>
        </w:rPr>
        <w:t>二、</w:t>
      </w:r>
      <w:r>
        <w:rPr>
          <w:rFonts w:ascii="仿宋" w:eastAsia="仿宋" w:cs="仿宋" w:hint="eastAsia"/>
          <w:b/>
          <w:bCs/>
          <w:spacing w:val="6"/>
          <w:sz w:val="32"/>
          <w:szCs w:val="32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（一）立项背景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adjustRightInd/>
        <w:snapToGrid/>
        <w:ind w:firstLineChars="200" w:firstLine="640"/>
        <w:rPr>
          <w:rFonts w:ascii="仿宋" w:eastAsia="仿宋" w:cs="仿宋" w:hint="eastAsia"/>
          <w:bCs/>
          <w:sz w:val="32"/>
          <w:szCs w:val="32"/>
          <w:shd w:val="clear" w:color="auto" w:fill="auto"/>
          <w:lang w:eastAsia="zh-CN"/>
        </w:rPr>
      </w:pPr>
      <w:r>
        <w:rPr>
          <w:rFonts w:ascii="仿宋" w:eastAsia="仿宋" w:cs="仿宋" w:hint="eastAsia"/>
          <w:bCs/>
          <w:sz w:val="32"/>
          <w:szCs w:val="32"/>
          <w:shd w:val="clear" w:color="auto" w:fill="auto"/>
        </w:rPr>
        <w:t>按照河北省交通运输厅公路管理局《河北省普通干线公路标准化养护实施标准》，以有效满足群众出行需求为目标，以充分发挥现有养护资金投资效益为主导，以加强日常养护及小修工程管理和养护施工安全管理为重点，以实施标准化养护为手段，健全制度，规范管理，狠抓落实，通过推进标准化养护，提升普通干线公路管理和服务水平。</w:t>
      </w:r>
      <w:r>
        <w:rPr>
          <w:rFonts w:ascii="仿宋" w:eastAsia="仿宋" w:cs="仿宋"/>
          <w:bCs/>
          <w:sz w:val="32"/>
          <w:szCs w:val="32"/>
          <w:shd w:val="clear" w:color="auto" w:fill="auto"/>
        </w:rPr>
        <w:t>区交通局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</w:rPr>
        <w:t>国省普通干线养护按《河北省普通干线公路标准化养护实施标准养护》对普通干线进行公路及其附属设施的日常保洁维护，全年养护费用450.47万元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Chars="200" w:firstLine="640"/>
        <w:textAlignment w:val="auto"/>
        <w:rPr>
          <w:rFonts w:ascii="仿宋" w:eastAsia="仿宋" w:cs="仿宋" w:hint="eastAsia"/>
          <w:sz w:val="32"/>
          <w:szCs w:val="32"/>
          <w:lang w:eastAsia="zh-CN"/>
        </w:rPr>
      </w:pPr>
      <w:r>
        <w:rPr>
          <w:rFonts w:ascii="仿宋" w:eastAsia="仿宋" w:cs="仿宋" w:hint="eastAsia"/>
          <w:sz w:val="32"/>
          <w:szCs w:val="32"/>
          <w:lang w:eastAsia="zh-CN"/>
        </w:rPr>
        <w:t>（二）资金来源和使用情况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/>
          <w:sz w:val="32"/>
          <w:szCs w:val="32"/>
          <w:shd w:val="clear" w:color="auto" w:fill="auto"/>
        </w:rPr>
      </w:pPr>
      <w:r>
        <w:rPr>
          <w:rFonts w:ascii="仿宋" w:eastAsia="仿宋"/>
          <w:sz w:val="32"/>
          <w:szCs w:val="32"/>
        </w:rPr>
        <w:t>该项目2024年年初预算安排</w:t>
      </w:r>
      <w:r>
        <w:rPr>
          <w:rFonts w:ascii="仿宋" w:eastAsia="仿宋" w:cs="仿宋"/>
          <w:sz w:val="32"/>
          <w:szCs w:val="32"/>
          <w:shd w:val="clear" w:color="auto" w:fill="auto"/>
        </w:rPr>
        <w:t>450.47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万元</w:t>
      </w:r>
      <w:r>
        <w:rPr>
          <w:rFonts w:ascii="仿宋" w:eastAsia="仿宋" w:hint="eastAsia"/>
          <w:bCs/>
          <w:sz w:val="32"/>
          <w:szCs w:val="32"/>
        </w:rPr>
        <w:t>（其中省级资金154万元、区级资金296.47万元）</w:t>
      </w:r>
      <w:r>
        <w:rPr>
          <w:rFonts w:ascii="仿宋" w:eastAsia="仿宋" w:cs="仿宋"/>
          <w:sz w:val="32"/>
          <w:szCs w:val="32"/>
          <w:shd w:val="clear" w:color="auto" w:fill="auto"/>
        </w:rPr>
        <w:t>，实际资金到位450.47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万元</w:t>
      </w:r>
      <w:r>
        <w:rPr>
          <w:rFonts w:ascii="仿宋" w:eastAsia="仿宋" w:cs="仿宋"/>
          <w:sz w:val="32"/>
          <w:szCs w:val="32"/>
          <w:shd w:val="clear" w:color="auto" w:fill="auto"/>
        </w:rPr>
        <w:t>，资金执行到位450.47</w:t>
      </w:r>
      <w:r>
        <w:rPr>
          <w:rFonts w:ascii="仿宋" w:eastAsia="仿宋" w:cs="仿宋" w:hint="eastAsia"/>
          <w:sz w:val="32"/>
          <w:szCs w:val="32"/>
          <w:shd w:val="clear" w:color="auto" w:fill="auto"/>
        </w:rPr>
        <w:t>万元</w:t>
      </w:r>
      <w:r>
        <w:rPr>
          <w:rFonts w:ascii="仿宋" w:eastAsia="仿宋" w:cs="仿宋"/>
          <w:sz w:val="32"/>
          <w:szCs w:val="32"/>
          <w:shd w:val="clear" w:color="auto" w:fill="auto"/>
        </w:rPr>
        <w:t>，总体完成率100%。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 w:cs="仿宋"/>
          <w:sz w:val="32"/>
          <w:szCs w:val="32"/>
          <w:shd w:val="clear" w:color="auto" w:fill="auto"/>
        </w:rPr>
      </w:pPr>
      <w:r>
        <w:rPr>
          <w:rFonts w:ascii="仿宋" w:eastAsia="仿宋" w:cs="仿宋"/>
          <w:sz w:val="32"/>
          <w:szCs w:val="32"/>
          <w:shd w:val="clear" w:color="auto" w:fill="auto"/>
        </w:rPr>
        <w:t>（三）绩效目标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left="0" w:firstLineChars="200" w:firstLine="640"/>
        <w:rPr>
          <w:rFonts w:ascii="仿宋" w:eastAsia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项目</w:t>
      </w:r>
      <w:r>
        <w:rPr>
          <w:rFonts w:ascii="仿宋" w:eastAsia="仿宋" w:cs="仿宋"/>
          <w:sz w:val="32"/>
          <w:szCs w:val="32"/>
        </w:rPr>
        <w:t>实施以来</w:t>
      </w:r>
      <w:r>
        <w:rPr>
          <w:rFonts w:ascii="仿宋" w:eastAsia="仿宋" w:cs="仿宋" w:hint="eastAsia"/>
          <w:sz w:val="32"/>
          <w:szCs w:val="32"/>
        </w:rPr>
        <w:t>，实现辖区内国省干线公路构建物、桥涵完好，排水畅通，沿线防护安全设施完善，绿化效果美观良好；路面平整、清洁</w:t>
      </w:r>
      <w:r>
        <w:rPr>
          <w:rFonts w:asci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firstLineChars="200" w:firstLine="640"/>
        <w:textAlignment w:val="auto"/>
        <w:rPr>
          <w:rFonts w:ascii="仿宋" w:eastAsia="仿宋" w:cs="仿宋" w:hint="eastAsia"/>
          <w:b/>
          <w:bCs/>
          <w:sz w:val="32"/>
          <w:szCs w:val="32"/>
          <w:lang w:eastAsia="zh-CN"/>
        </w:rPr>
      </w:pP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三、</w:t>
      </w:r>
      <w:r>
        <w:rPr>
          <w:rFonts w:ascii="仿宋" w:eastAsia="仿宋" w:cs="仿宋" w:hint="eastAsia"/>
          <w:b/>
          <w:bCs/>
          <w:sz w:val="32"/>
          <w:szCs w:val="32"/>
        </w:rPr>
        <w:t>绩效评价情况</w:t>
      </w:r>
    </w:p>
    <w:p>
      <w:pPr>
        <w:spacing w:line="520" w:lineRule="exact"/>
        <w:ind w:left="0" w:firstLineChars="200" w:firstLine="640"/>
        <w:rPr>
          <w:rFonts w:ascii="仿宋" w:eastAsia="仿宋" w:cs="仿宋" w:hint="eastAsia"/>
          <w:sz w:val="32"/>
          <w:szCs w:val="32"/>
          <w:lang w:eastAsia="zh-CN"/>
          <w:highlight w:val="none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（一）</w:t>
      </w:r>
      <w:r>
        <w:rPr>
          <w:rFonts w:ascii="仿宋" w:eastAsia="仿宋" w:cs="仿宋" w:hint="eastAsia"/>
          <w:sz w:val="32"/>
          <w:szCs w:val="32"/>
          <w:lang w:eastAsia="zh-CN"/>
          <w:highlight w:val="none"/>
        </w:rPr>
        <w:t>项目绩效目标评价情况</w:t>
      </w:r>
    </w:p>
    <w:p>
      <w:pPr>
        <w:snapToGrid w:val="0"/>
        <w:spacing w:line="520" w:lineRule="exact"/>
        <w:ind w:firstLineChars="200" w:firstLine="640"/>
        <w:rPr>
          <w:rFonts w:ascii="仿宋" w:eastAsia="仿宋" w:cs="仿宋" w:hint="eastAsia"/>
          <w:bCs/>
          <w:sz w:val="32"/>
          <w:szCs w:val="32"/>
          <w:shd w:val="clear" w:color="auto" w:fill="auto"/>
          <w:lang w:bidi="ar-SA"/>
        </w:rPr>
      </w:pPr>
      <w:r>
        <w:rPr>
          <w:rFonts w:ascii="仿宋" w:eastAsia="仿宋" w:cs="仿宋"/>
          <w:bCs/>
          <w:sz w:val="32"/>
          <w:szCs w:val="32"/>
          <w:shd w:val="clear" w:color="auto" w:fill="auto"/>
          <w:lang w:val="en-US" w:eastAsia="zh-CN" w:bidi="ar-SA"/>
        </w:rPr>
        <w:t>区交通局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  <w:lang w:val="en-US" w:eastAsia="zh-CN" w:bidi="ar-SA"/>
        </w:rPr>
        <w:t>对年度绩效指标完成情况进了重点评价，其中产出指标中数量指标即完成公里数，预期指标值45.86公里，实际完成值为45.86公里，自评分数为8分；质量指标即养护达标率预期指标值≧99%，实际完成值99%，自评分数为19分；时效指标即常态化养护完成率预期指标值100%，实际完成值100%，自评分数为10分；</w:t>
      </w:r>
      <w:r>
        <w:rPr>
          <w:rFonts w:ascii="仿宋" w:eastAsia="仿宋" w:cs="仿宋"/>
          <w:bCs/>
          <w:sz w:val="32"/>
          <w:szCs w:val="32"/>
          <w:shd w:val="clear" w:color="auto" w:fill="auto"/>
          <w:lang w:val="en-US" w:eastAsia="zh-CN" w:bidi="ar-SA"/>
        </w:rPr>
        <w:t>成本指标完成年初预算安排450.47万元的全部支付，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  <w:lang w:val="en-US" w:eastAsia="zh-CN" w:bidi="ar-SA"/>
        </w:rPr>
        <w:t>自评分数为10分；效益指标中社会效益指标即沿线景观提高，预期指标值符合社会发展需要，逐步提高公路服务水平，实际完成值为符合社会发展需要，逐步提高公路服务水平，自评分数为10分；生态效益指标即提高公路两侧环境，预期指标值保持道路畅通，打造实安绿美的公路路域环境，实际完成值保持道路畅通，打造实安绿美的公路路域环境，自评分数为9分；可持续影响指标即对道路的影响，预期指标值持续改善路域环境，实安绿美，实际完成值为持续改善路域环境，实安绿美，自评分数为10</w:t>
      </w:r>
      <w:r>
        <w:rPr>
          <w:rFonts w:ascii="仿宋" w:eastAsia="仿宋" w:cs="仿宋"/>
          <w:bCs/>
          <w:sz w:val="32"/>
          <w:szCs w:val="32"/>
          <w:shd w:val="clear" w:color="auto" w:fill="auto"/>
          <w:lang w:val="en-US" w:eastAsia="zh-CN" w:bidi="ar-SA"/>
        </w:rPr>
        <w:t>分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  <w:lang w:val="en-US" w:eastAsia="zh-CN" w:bidi="ar-SA"/>
        </w:rPr>
        <w:t>；满意度指标即问卷访谈预期指标值≧98%，实际完成值为99%，自评分数为10分；预算执行率为100%，自评分数为10分，合计评分</w:t>
      </w:r>
      <w:r>
        <w:rPr>
          <w:rFonts w:ascii="仿宋" w:eastAsia="仿宋" w:cs="仿宋"/>
          <w:bCs/>
          <w:sz w:val="32"/>
          <w:szCs w:val="32"/>
          <w:shd w:val="clear" w:color="auto" w:fill="auto"/>
          <w:lang w:val="en-US" w:eastAsia="zh-CN" w:bidi="ar-SA"/>
        </w:rPr>
        <w:t>9</w:t>
      </w:r>
      <w:r>
        <w:rPr>
          <w:rFonts w:ascii="仿宋" w:eastAsia="仿宋" w:cs="仿宋" w:hint="eastAsia"/>
          <w:bCs/>
          <w:sz w:val="32"/>
          <w:szCs w:val="32"/>
          <w:shd w:val="clear" w:color="auto" w:fill="auto"/>
          <w:lang w:val="en-US" w:eastAsia="zh-CN" w:bidi="ar-SA"/>
        </w:rPr>
        <w:t>6分。</w:t>
      </w:r>
    </w:p>
    <w:p>
      <w:pPr>
        <w:spacing w:line="360" w:lineRule="auto"/>
        <w:ind w:firstLineChars="150" w:firstLine="480"/>
        <w:rPr>
          <w:rFonts w:ascii="仿宋" w:eastAsia="仿宋" w:cs="仿宋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sz w:val="32"/>
          <w:szCs w:val="32"/>
          <w:lang w:val="en-US" w:eastAsia="zh-CN"/>
        </w:rPr>
        <w:t>（二）评价结论</w:t>
      </w:r>
    </w:p>
    <w:p>
      <w:pPr>
        <w:spacing w:line="520" w:lineRule="exact"/>
        <w:ind w:firstLineChars="200" w:firstLine="640"/>
        <w:rPr>
          <w:rFonts w:ascii="仿宋" w:eastAsia="仿宋" w:cs="仿宋"/>
          <w:sz w:val="32"/>
          <w:szCs w:val="32"/>
        </w:rPr>
      </w:pPr>
      <w:r>
        <w:rPr>
          <w:rFonts w:ascii="仿宋" w:eastAsia="仿宋" w:cs="仿宋" w:hint="eastAsia"/>
          <w:sz w:val="32"/>
          <w:szCs w:val="32"/>
        </w:rPr>
        <w:t>项目实施后，实现辖区内国省干线公路构建物、桥涵完好，排水畅通，沿线防护安全设施完善，绿化效果美观良好；路面平整、清洁。促进了沿线经济发展，道路扬尘明显减少，改善了公路路域环境，群众满意度较高。</w:t>
      </w:r>
    </w:p>
    <w:p>
      <w:pPr>
        <w:spacing w:line="520" w:lineRule="exact"/>
        <w:ind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项目综合评价得分</w:t>
      </w:r>
      <w:r>
        <w:rPr>
          <w:rFonts w:ascii="仿宋" w:eastAsia="仿宋" w:cs="仿宋" w:hAnsi="宋体"/>
          <w:bCs/>
          <w:sz w:val="32"/>
          <w:szCs w:val="32"/>
          <w:shd w:val="clear" w:color="auto" w:fill="auto"/>
          <w:lang w:val="en-US" w:eastAsia="zh-CN"/>
        </w:rPr>
        <w:t>90</w:t>
      </w: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分，评价等级</w:t>
      </w:r>
      <w:r>
        <w:rPr>
          <w:rFonts w:ascii="仿宋" w:eastAsia="仿宋" w:cs="仿宋" w:hAnsi="宋体"/>
          <w:bCs/>
          <w:sz w:val="32"/>
          <w:szCs w:val="32"/>
          <w:shd w:val="clear" w:color="auto" w:fill="auto"/>
          <w:lang w:val="en-US" w:eastAsia="zh-CN"/>
        </w:rPr>
        <w:t>优秀</w:t>
      </w: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92" w:lineRule="exact"/>
        <w:ind w:firstLineChars="200" w:firstLine="640"/>
        <w:rPr>
          <w:rFonts w:ascii="仿宋" w:eastAsia="仿宋" w:cs="仿宋" w:hint="eastAsia"/>
          <w:b/>
          <w:bCs/>
          <w:sz w:val="32"/>
          <w:szCs w:val="32"/>
        </w:rPr>
      </w:pPr>
      <w:r>
        <w:rPr>
          <w:rFonts w:asci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ascii="仿宋" w:eastAsia="仿宋" w:cs="仿宋" w:hint="eastAsia"/>
          <w:b/>
          <w:bCs/>
          <w:sz w:val="32"/>
          <w:szCs w:val="32"/>
          <w:lang w:eastAsia="zh-CN"/>
        </w:rPr>
        <w:t>、</w:t>
      </w:r>
      <w:r>
        <w:rPr>
          <w:rFonts w:ascii="仿宋" w:eastAsia="仿宋" w:cs="仿宋" w:hint="eastAsia"/>
          <w:b/>
          <w:bCs/>
          <w:sz w:val="32"/>
          <w:szCs w:val="32"/>
        </w:rPr>
        <w:t>存在问题及改进建议</w:t>
      </w:r>
    </w:p>
    <w:p>
      <w:pPr>
        <w:spacing w:line="600" w:lineRule="exact"/>
        <w:ind w:firstLineChars="221" w:firstLine="707"/>
        <w:rPr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/>
        </w:rPr>
        <w:t>存在问题：</w:t>
      </w:r>
      <w:r>
        <w:rPr>
          <w:rFonts w:ascii="仿宋" w:eastAsia="仿宋" w:hint="eastAsia"/>
          <w:sz w:val="32"/>
          <w:szCs w:val="32"/>
        </w:rPr>
        <w:t xml:space="preserve">随着环境治理要求、公路安全标准和养护标准的不断提高，虽然配置了部分养护机械设备、增加了部分技术人员，但距达到普通干线公路养护要求，还存在一定差距，需增加养护资金，配置更多的养护设备和人员，以满足扬尘治理、安全保畅等干线公路养护工作的需求。 </w:t>
      </w:r>
    </w:p>
    <w:p>
      <w:pPr>
        <w:spacing w:line="600" w:lineRule="exact"/>
        <w:ind w:firstLineChars="221" w:firstLine="707"/>
        <w:rPr>
          <w:rFonts w:ascii="仿宋" w:eastAsia="仿宋" w:hint="eastAsia"/>
          <w:sz w:val="32"/>
          <w:szCs w:val="32"/>
        </w:rPr>
      </w:pPr>
      <w:r>
        <w:rPr>
          <w:rFonts w:ascii="仿宋" w:eastAsia="仿宋" w:cs="仿宋" w:hAnsi="宋体" w:hint="eastAsia"/>
          <w:bCs/>
          <w:sz w:val="32"/>
          <w:szCs w:val="32"/>
          <w:shd w:val="clear" w:color="auto" w:fill="auto"/>
          <w:lang w:val="en-US" w:eastAsia="zh-CN" w:bidi="ar-SA"/>
        </w:rPr>
        <w:t>改进建议：</w:t>
      </w:r>
      <w:r>
        <w:rPr>
          <w:rFonts w:ascii="仿宋" w:eastAsia="仿宋" w:hint="eastAsia"/>
          <w:sz w:val="32"/>
          <w:szCs w:val="32"/>
        </w:rPr>
        <w:t>需要全面提高养护工作的水平和质量，以确保公路的安全、可靠和舒适性。同时，应该加强资金投入，提高管理科学性，全面改善干线公路的养护状况。</w:t>
      </w:r>
    </w:p>
    <w:p>
      <w:pPr>
        <w:spacing w:line="520" w:lineRule="exact"/>
        <w:ind w:firstLineChars="200" w:firstLine="640"/>
        <w:rPr>
          <w:rFonts w:ascii="仿宋" w:eastAsia="仿宋" w:cs="仿宋" w:hAnsi="宋体" w:hint="eastAsia"/>
          <w:bCs/>
          <w:sz w:val="32"/>
          <w:szCs w:val="32"/>
          <w:shd w:val="clear" w:color="auto" w:fill="auto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/>
        <w:ind w:firstLineChars="200" w:firstLine="640"/>
        <w:jc w:val="both"/>
        <w:rPr>
          <w:rFonts w:ascii="仿宋" w:eastAsia="仿宋" w:cs="仿宋" w:hAnsi="宋体" w:hint="eastAsia"/>
          <w:sz w:val="32"/>
          <w:szCs w:val="32"/>
          <w:shd w:val="clear" w:color="auto" w:fill="auto"/>
        </w:rPr>
      </w:pPr>
      <w:r>
        <w:rPr>
          <w:rFonts w:ascii="仿宋" w:eastAsia="仿宋" w:cs="仿宋" w:hAnsi="宋体"/>
          <w:sz w:val="32"/>
          <w:szCs w:val="32"/>
          <w:shd w:val="clear" w:color="auto" w:fill="auto"/>
        </w:rPr>
        <w:t xml:space="preserve">                              2025年5月14日</w:t>
      </w: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rPr>
      <w:rFonts w:ascii="方正书宋_GBK" w:eastAsia="方正书宋_GBK" w:cs="方正书宋_GBK" w:hAnsi="Times New Roman"/>
      <w:sz w:val="21"/>
      <w:szCs w:val="24"/>
      <w:lang w:val="en-US" w:eastAsia="uk-UA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方正书宋_GBK" w:eastAsia="方正书宋_GBK" w:cs="方正书宋_GBK" w:hAnsi="Times New Roman"/>
      <w:b/>
      <w:bCs/>
      <w:kern w:val="44"/>
      <w:sz w:val="44"/>
      <w:szCs w:val="44"/>
      <w:lang w:val="en-US" w:eastAsia="uk-UA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方正书宋_GBK" w:hAnsi="Times New Roman"/>
      <w:b/>
      <w:bCs/>
      <w:sz w:val="32"/>
      <w:szCs w:val="32"/>
      <w:lang w:val="en-US" w:eastAsia="uk-UA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方正书宋_GBK" w:eastAsia="方正书宋_GBK" w:cs="方正书宋_GBK" w:hAnsi="Times New Roman"/>
      <w:b/>
      <w:bCs/>
      <w:sz w:val="32"/>
      <w:szCs w:val="32"/>
      <w:lang w:val="en-US" w:eastAsia="uk-UA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C14976A-287D-4A15-B5EB-1A0B13E98345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1356</TotalTime>
  <Application>Yozo_Office9.0.5780.101ZH</Application>
  <Pages>4</Pages>
  <Words>0</Words>
  <Characters>1235</Characters>
  <Lines>0</Lines>
  <Paragraphs>25</Paragraphs>
  <CharactersWithSpaces>1647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admin</cp:lastModifiedBy>
  <cp:revision>5</cp:revision>
  <dcterms:created xsi:type="dcterms:W3CDTF">2021-05-08T07:28:00Z</dcterms:created>
  <dcterms:modified xsi:type="dcterms:W3CDTF">2025-05-14T08:29:03Z</dcterms:modified>
</cp:coreProperties>
</file>