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82DFA">
      <w:pPr>
        <w:keepNext w:val="0"/>
        <w:keepLines w:val="0"/>
        <w:pageBreakBefore w:val="0"/>
        <w:widowControl w:val="0"/>
        <w:kinsoku/>
        <w:wordWrap/>
        <w:overflowPunct/>
        <w:topLinePunct/>
        <w:autoSpaceDE/>
        <w:autoSpaceDN/>
        <w:bidi w:val="0"/>
        <w:adjustRightInd/>
        <w:snapToGrid/>
        <w:spacing w:line="360" w:lineRule="auto"/>
        <w:ind w:left="0" w:right="0"/>
        <w:jc w:val="center"/>
        <w:outlineLvl w:val="9"/>
        <w:rPr>
          <w:rFonts w:hint="eastAsia" w:ascii="宋体" w:eastAsia="宋体" w:cs="宋体"/>
          <w:b/>
          <w:bCs/>
          <w:color w:val="000000"/>
          <w:kern w:val="44"/>
          <w:sz w:val="32"/>
          <w:szCs w:val="32"/>
          <w:highlight w:val="none"/>
          <w:shd w:val="clear" w:color="auto" w:fill="auto"/>
          <w:lang w:val="en-US" w:eastAsia="zh-CN" w:bidi="ar-SA"/>
        </w:rPr>
      </w:pPr>
      <w:r>
        <w:rPr>
          <w:rFonts w:hint="eastAsia" w:ascii="宋体" w:eastAsia="宋体" w:cs="宋体"/>
          <w:b/>
          <w:bCs/>
          <w:color w:val="000000"/>
          <w:kern w:val="44"/>
          <w:sz w:val="32"/>
          <w:szCs w:val="32"/>
          <w:highlight w:val="none"/>
          <w:shd w:val="clear" w:color="auto" w:fill="auto"/>
          <w:lang w:val="en-US" w:eastAsia="zh-CN" w:bidi="ar-SA"/>
        </w:rPr>
        <w:t>丰南区50MW风电项目建设指标竞争性配置公告</w:t>
      </w:r>
    </w:p>
    <w:p w14:paraId="17ECE2BD">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b w:val="0"/>
          <w:bCs/>
          <w:color w:val="000000"/>
          <w:sz w:val="24"/>
          <w:szCs w:val="24"/>
          <w:highlight w:val="none"/>
          <w:shd w:val="clear" w:color="auto" w:fill="auto"/>
          <w:lang w:val="en-US" w:eastAsia="zh-CN" w:bidi="ar-SA"/>
        </w:rPr>
      </w:pPr>
      <w:bookmarkStart w:id="0" w:name="_Toc28359079"/>
      <w:bookmarkStart w:id="1" w:name="_Toc28359002"/>
      <w:bookmarkStart w:id="2" w:name="_Toc35393790"/>
      <w:bookmarkStart w:id="3" w:name="_Toc35393621"/>
      <w:bookmarkStart w:id="4" w:name="_Toc19259"/>
      <w:bookmarkStart w:id="5" w:name="_Toc23839"/>
      <w:bookmarkStart w:id="6" w:name="_Hlk24379207"/>
      <w:r>
        <w:rPr>
          <w:rFonts w:hint="eastAsia" w:ascii="宋体" w:eastAsia="宋体" w:cs="宋体"/>
          <w:b w:val="0"/>
          <w:bCs/>
          <w:color w:val="000000"/>
          <w:sz w:val="24"/>
          <w:szCs w:val="24"/>
          <w:highlight w:val="none"/>
          <w:shd w:val="clear" w:color="auto" w:fill="auto"/>
          <w:lang w:val="en-US" w:eastAsia="zh-CN" w:bidi="ar-SA"/>
        </w:rPr>
        <w:t>为科学合理配置丰南区风电光伏项目，推动新能源产业高质量发展，根据河北省风电、光伏保障性规模竞争性配置导则等相关规定要求，结合我区实际，现将项目竞争性配置公告如下，欢迎符合要求的企业参加项目申报。</w:t>
      </w:r>
    </w:p>
    <w:p w14:paraId="76DA8081">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一、项目基本情况</w:t>
      </w:r>
      <w:bookmarkEnd w:id="0"/>
      <w:bookmarkEnd w:id="1"/>
      <w:bookmarkEnd w:id="2"/>
      <w:bookmarkEnd w:id="3"/>
      <w:bookmarkEnd w:id="4"/>
      <w:bookmarkEnd w:id="5"/>
    </w:p>
    <w:p w14:paraId="40EF8AB4">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jc w:val="left"/>
        <w:textAlignment w:val="auto"/>
        <w:outlineLvl w:val="9"/>
        <w:rPr>
          <w:rFonts w:hint="eastAsia" w:ascii="宋体" w:eastAsia="宋体" w:cs="宋体"/>
          <w:color w:val="000000"/>
          <w:kern w:val="2"/>
          <w:sz w:val="24"/>
          <w:szCs w:val="24"/>
          <w:highlight w:val="none"/>
          <w:shd w:val="clear" w:color="auto" w:fill="auto"/>
          <w:lang w:val="en-US" w:eastAsia="zh-CN"/>
        </w:rPr>
      </w:pPr>
      <w:r>
        <w:rPr>
          <w:rFonts w:hint="eastAsia" w:ascii="宋体" w:eastAsia="宋体" w:cs="宋体"/>
          <w:color w:val="000000"/>
          <w:kern w:val="2"/>
          <w:sz w:val="24"/>
          <w:szCs w:val="24"/>
          <w:highlight w:val="none"/>
          <w:shd w:val="clear" w:color="auto" w:fill="auto"/>
          <w:lang w:val="en-US" w:eastAsia="zh-CN"/>
        </w:rPr>
        <w:t>1.竞配</w:t>
      </w:r>
      <w:bookmarkEnd w:id="6"/>
      <w:r>
        <w:rPr>
          <w:rFonts w:hint="eastAsia" w:ascii="宋体" w:eastAsia="宋体" w:cs="宋体"/>
          <w:color w:val="000000"/>
          <w:kern w:val="2"/>
          <w:sz w:val="24"/>
          <w:szCs w:val="24"/>
          <w:highlight w:val="none"/>
          <w:shd w:val="clear" w:color="auto" w:fill="auto"/>
          <w:lang w:val="en-US" w:eastAsia="zh-CN"/>
        </w:rPr>
        <w:t>名称：丰南区50MW风电项目</w:t>
      </w:r>
    </w:p>
    <w:p w14:paraId="7F18813D">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2、优选内容：丰南区发展和改革局优选50MW风电项目投资建设企业，中选后自行承担费用和风险，负责项目的设计、投资、建设、安全质量以及工程竣工后的运营、维护等工作。</w:t>
      </w:r>
    </w:p>
    <w:p w14:paraId="1AA88B6A">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bookmarkStart w:id="7" w:name="_Toc35393622"/>
      <w:bookmarkStart w:id="8" w:name="_Toc2051"/>
      <w:bookmarkStart w:id="9" w:name="_Toc28359080"/>
      <w:bookmarkStart w:id="10" w:name="_Toc28359003"/>
      <w:bookmarkStart w:id="11" w:name="_Toc30540"/>
      <w:bookmarkStart w:id="12" w:name="_Toc35393791"/>
      <w:r>
        <w:rPr>
          <w:rFonts w:hint="eastAsia" w:ascii="宋体" w:eastAsia="宋体" w:cs="宋体"/>
          <w:color w:val="000000"/>
          <w:kern w:val="2"/>
          <w:sz w:val="24"/>
          <w:szCs w:val="24"/>
          <w:highlight w:val="none"/>
          <w:shd w:val="clear" w:color="auto" w:fill="auto"/>
          <w:lang w:val="en-US" w:eastAsia="zh-CN" w:bidi="ar-SA"/>
        </w:rPr>
        <w:t>3、项目实施地点：丰南区</w:t>
      </w:r>
    </w:p>
    <w:p w14:paraId="6173D132">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4、服务期限:待列入省建设计划后，按照省要求日期全容量并网。</w:t>
      </w:r>
    </w:p>
    <w:p w14:paraId="02D18FFC">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5、服务质量:满足现行规范要求和配置单位要求。</w:t>
      </w:r>
    </w:p>
    <w:p w14:paraId="04408E5D">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三、申报企业的资格要求</w:t>
      </w:r>
      <w:bookmarkEnd w:id="7"/>
      <w:bookmarkEnd w:id="8"/>
      <w:bookmarkEnd w:id="9"/>
      <w:bookmarkEnd w:id="10"/>
      <w:bookmarkEnd w:id="11"/>
      <w:bookmarkEnd w:id="12"/>
    </w:p>
    <w:p w14:paraId="56FECA1F">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bookmarkStart w:id="13" w:name="_Toc28359081"/>
      <w:bookmarkStart w:id="14" w:name="_Toc28359004"/>
      <w:r>
        <w:rPr>
          <w:rFonts w:hint="eastAsia" w:ascii="宋体" w:eastAsia="宋体" w:cs="宋体"/>
          <w:b w:val="0"/>
          <w:bCs w:val="0"/>
          <w:color w:val="000000"/>
          <w:kern w:val="2"/>
          <w:sz w:val="24"/>
          <w:szCs w:val="24"/>
          <w:highlight w:val="none"/>
          <w:shd w:val="clear" w:color="auto" w:fill="auto"/>
          <w:lang w:val="en-US" w:eastAsia="zh-CN"/>
        </w:rPr>
        <w:t>1.在中华人民共和国境内注册，具有独立法人资格，具备有效的企业营业执照。</w:t>
      </w:r>
    </w:p>
    <w:p w14:paraId="1DE4EA07">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2.申报企业</w:t>
      </w:r>
      <w:r>
        <w:rPr>
          <w:rFonts w:hint="eastAsia" w:ascii="宋体" w:hAnsi="宋体" w:eastAsia="宋体" w:cs="宋体"/>
          <w:spacing w:val="-1"/>
          <w:sz w:val="24"/>
          <w:szCs w:val="22"/>
          <w:highlight w:val="none"/>
          <w:lang w:val="en-US" w:bidi="ar-SA"/>
        </w:rPr>
        <w:t>未被列入“信用中国”网站</w:t>
      </w:r>
      <w:r>
        <w:rPr>
          <w:rFonts w:hint="eastAsia" w:cs="宋体"/>
          <w:spacing w:val="-1"/>
          <w:sz w:val="24"/>
          <w:szCs w:val="22"/>
          <w:highlight w:val="none"/>
          <w:lang w:val="en-US" w:eastAsia="zh-CN" w:bidi="ar-SA"/>
        </w:rPr>
        <w:t>严重失信主体名单、经营（活动）异常名录</w:t>
      </w:r>
      <w:r>
        <w:rPr>
          <w:rFonts w:hint="eastAsia" w:ascii="宋体" w:hAnsi="宋体" w:eastAsia="宋体" w:cs="宋体"/>
          <w:spacing w:val="-1"/>
          <w:sz w:val="24"/>
          <w:szCs w:val="22"/>
          <w:highlight w:val="none"/>
          <w:lang w:val="en-US" w:bidi="ar-SA"/>
        </w:rPr>
        <w:t>及中国政府采购网政府采购严重违法失信行为记录名单</w:t>
      </w:r>
      <w:r>
        <w:rPr>
          <w:rFonts w:hint="eastAsia" w:ascii="宋体" w:eastAsia="宋体" w:cs="宋体"/>
          <w:b w:val="0"/>
          <w:bCs w:val="0"/>
          <w:color w:val="000000"/>
          <w:kern w:val="2"/>
          <w:sz w:val="24"/>
          <w:szCs w:val="24"/>
          <w:highlight w:val="none"/>
          <w:shd w:val="clear" w:color="auto" w:fill="auto"/>
          <w:lang w:val="en-US" w:eastAsia="zh-CN"/>
        </w:rPr>
        <w:t>。</w:t>
      </w:r>
    </w:p>
    <w:p w14:paraId="681032C8">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3.本项目不接受联合体申报。</w:t>
      </w:r>
    </w:p>
    <w:p w14:paraId="4D91384D">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四、获取竞争性配置文件</w:t>
      </w:r>
    </w:p>
    <w:p w14:paraId="1A9C1876">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lang w:val="en-US" w:eastAsia="zh-CN"/>
        </w:rPr>
        <w:t>1.1.</w:t>
      </w:r>
      <w:r>
        <w:rPr>
          <w:rFonts w:hint="eastAsia" w:ascii="宋体" w:eastAsia="宋体" w:cs="宋体"/>
          <w:color w:val="000000"/>
          <w:sz w:val="24"/>
          <w:szCs w:val="24"/>
          <w:highlight w:val="none"/>
          <w:shd w:val="clear" w:color="auto" w:fill="auto"/>
        </w:rPr>
        <w:t>凡有意参加的</w:t>
      </w:r>
      <w:r>
        <w:rPr>
          <w:rFonts w:hint="eastAsia" w:ascii="宋体" w:eastAsia="宋体" w:cs="宋体"/>
          <w:color w:val="000000"/>
          <w:sz w:val="24"/>
          <w:szCs w:val="24"/>
          <w:highlight w:val="none"/>
          <w:shd w:val="clear" w:color="auto" w:fill="auto"/>
          <w:lang w:eastAsia="zh-CN"/>
        </w:rPr>
        <w:t>投资人</w:t>
      </w:r>
      <w:r>
        <w:rPr>
          <w:rFonts w:hint="eastAsia" w:ascii="宋体" w:eastAsia="宋体" w:cs="宋体"/>
          <w:color w:val="000000"/>
          <w:sz w:val="24"/>
          <w:szCs w:val="24"/>
          <w:highlight w:val="none"/>
          <w:shd w:val="clear" w:color="auto" w:fill="auto"/>
        </w:rPr>
        <w:t>，请于</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5 </w:t>
      </w:r>
      <w:r>
        <w:rPr>
          <w:rFonts w:hint="eastAsia" w:ascii="宋体" w:eastAsia="宋体" w:cs="宋体"/>
          <w:color w:val="000000"/>
          <w:sz w:val="24"/>
          <w:szCs w:val="24"/>
          <w:highlight w:val="none"/>
          <w:shd w:val="clear" w:color="auto" w:fill="auto"/>
        </w:rPr>
        <w:t>日至</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 xml:space="preserve">8 </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7 </w:t>
      </w:r>
      <w:r>
        <w:rPr>
          <w:rFonts w:hint="eastAsia" w:ascii="宋体" w:eastAsia="宋体" w:cs="宋体"/>
          <w:color w:val="000000"/>
          <w:sz w:val="24"/>
          <w:szCs w:val="24"/>
          <w:highlight w:val="none"/>
          <w:shd w:val="clear" w:color="auto" w:fill="auto"/>
        </w:rPr>
        <w:t>日，每日</w:t>
      </w:r>
      <w:r>
        <w:rPr>
          <w:rFonts w:hint="eastAsia" w:ascii="宋体" w:eastAsia="宋体" w:cs="宋体"/>
          <w:color w:val="000000"/>
          <w:sz w:val="24"/>
          <w:szCs w:val="24"/>
          <w:highlight w:val="none"/>
          <w:u w:val="single"/>
          <w:shd w:val="clear" w:color="auto" w:fill="auto"/>
        </w:rPr>
        <w:t>08</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ascii="宋体" w:eastAsia="宋体" w:cs="宋体"/>
          <w:color w:val="000000"/>
          <w:sz w:val="24"/>
          <w:szCs w:val="24"/>
          <w:highlight w:val="none"/>
          <w:u w:val="single"/>
          <w:shd w:val="clear" w:color="auto" w:fill="auto"/>
        </w:rPr>
        <w:t>12</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w:t>
      </w:r>
      <w:r>
        <w:rPr>
          <w:rFonts w:hint="eastAsia" w:cs="宋体"/>
          <w:color w:val="000000"/>
          <w:sz w:val="24"/>
          <w:szCs w:val="24"/>
          <w:highlight w:val="none"/>
          <w:u w:val="single"/>
          <w:shd w:val="clear" w:color="auto" w:fill="auto"/>
          <w:lang w:val="en-US" w:eastAsia="zh-CN"/>
        </w:rPr>
        <w:t>14</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cs="宋体"/>
          <w:color w:val="000000"/>
          <w:sz w:val="24"/>
          <w:szCs w:val="24"/>
          <w:highlight w:val="none"/>
          <w:u w:val="single"/>
          <w:shd w:val="clear" w:color="auto" w:fill="auto"/>
          <w:lang w:val="en-US" w:eastAsia="zh-CN"/>
        </w:rPr>
        <w:t>17</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时（北京时间，下同）</w:t>
      </w:r>
      <w:r>
        <w:rPr>
          <w:rFonts w:hint="eastAsia" w:ascii="宋体" w:eastAsia="宋体" w:cs="宋体"/>
          <w:color w:val="000000"/>
          <w:sz w:val="24"/>
          <w:szCs w:val="24"/>
          <w:highlight w:val="none"/>
          <w:shd w:val="clear" w:color="auto" w:fill="auto"/>
          <w:lang w:eastAsia="zh-CN"/>
        </w:rPr>
        <w:t>，在</w:t>
      </w:r>
      <w:r>
        <w:rPr>
          <w:rFonts w:hint="eastAsia" w:ascii="宋体" w:eastAsia="宋体" w:cs="宋体"/>
          <w:color w:val="000000"/>
          <w:sz w:val="24"/>
          <w:szCs w:val="24"/>
          <w:highlight w:val="none"/>
          <w:u w:val="single"/>
          <w:shd w:val="clear" w:color="auto" w:fill="auto"/>
          <w:lang w:eastAsia="zh-CN"/>
        </w:rPr>
        <w:t>丰南区双湖锦苑商业清源街56-3号</w:t>
      </w:r>
      <w:r>
        <w:rPr>
          <w:rFonts w:hint="eastAsia" w:ascii="宋体" w:eastAsia="宋体" w:cs="宋体"/>
          <w:color w:val="000000"/>
          <w:sz w:val="24"/>
          <w:szCs w:val="24"/>
          <w:highlight w:val="none"/>
          <w:shd w:val="clear" w:color="auto" w:fill="auto"/>
          <w:lang w:val="en-US" w:eastAsia="zh-CN"/>
        </w:rPr>
        <w:t>获取竞争性配置文件</w:t>
      </w:r>
      <w:r>
        <w:rPr>
          <w:rFonts w:hint="eastAsia" w:ascii="宋体" w:eastAsia="宋体" w:cs="宋体"/>
          <w:color w:val="000000"/>
          <w:sz w:val="24"/>
          <w:szCs w:val="24"/>
          <w:highlight w:val="none"/>
          <w:shd w:val="clear" w:color="auto" w:fill="auto"/>
          <w:lang w:eastAsia="zh-CN"/>
        </w:rPr>
        <w:t>。</w:t>
      </w:r>
    </w:p>
    <w:p w14:paraId="02DD763F">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lang w:val="en-US" w:eastAsia="zh-CN"/>
        </w:rPr>
        <w:t>2.</w:t>
      </w:r>
      <w:r>
        <w:rPr>
          <w:rFonts w:hint="eastAsia" w:ascii="宋体" w:eastAsia="宋体" w:cs="宋体"/>
          <w:color w:val="000000"/>
          <w:sz w:val="24"/>
          <w:szCs w:val="24"/>
          <w:highlight w:val="none"/>
          <w:shd w:val="clear" w:color="auto" w:fill="auto"/>
          <w:lang w:eastAsia="zh-CN"/>
        </w:rPr>
        <w:t>获取方式：</w:t>
      </w:r>
      <w:r>
        <w:rPr>
          <w:rFonts w:hint="eastAsia" w:ascii="宋体" w:hAnsi="宋体" w:eastAsia="宋体" w:cs="宋体"/>
          <w:color w:val="auto"/>
          <w:sz w:val="24"/>
          <w:szCs w:val="24"/>
          <w:highlight w:val="none"/>
        </w:rPr>
        <w:t>持企业营业执照、法定代表人身份证明书及法定代表人身份证或法定代表人授权委托书及</w:t>
      </w:r>
      <w:bookmarkStart w:id="24" w:name="_GoBack"/>
      <w:bookmarkEnd w:id="24"/>
      <w:r>
        <w:rPr>
          <w:rFonts w:hint="eastAsia" w:ascii="宋体" w:hAnsi="宋体" w:eastAsia="宋体" w:cs="宋体"/>
          <w:color w:val="auto"/>
          <w:sz w:val="24"/>
          <w:szCs w:val="24"/>
          <w:highlight w:val="none"/>
        </w:rPr>
        <w:t>被授权人身份证（以上证件领取文件时必须出示提供加盖公章的复印件）</w:t>
      </w:r>
      <w:r>
        <w:rPr>
          <w:rFonts w:hint="eastAsia" w:ascii="宋体" w:hAnsi="宋体" w:eastAsia="宋体" w:cs="宋体"/>
          <w:color w:val="auto"/>
          <w:sz w:val="24"/>
          <w:szCs w:val="24"/>
          <w:highlight w:val="none"/>
          <w:lang w:val="en-US" w:eastAsia="zh-CN"/>
        </w:rPr>
        <w:t>领取</w:t>
      </w:r>
      <w:r>
        <w:rPr>
          <w:rFonts w:hint="eastAsia" w:ascii="宋体" w:eastAsia="宋体" w:cs="宋体"/>
          <w:color w:val="000000"/>
          <w:sz w:val="24"/>
          <w:szCs w:val="24"/>
          <w:highlight w:val="none"/>
          <w:shd w:val="clear" w:color="auto" w:fill="auto"/>
          <w:lang w:val="en-US" w:eastAsia="zh-CN"/>
        </w:rPr>
        <w:t>竞争性配置文件</w:t>
      </w:r>
      <w:r>
        <w:rPr>
          <w:rFonts w:hint="eastAsia" w:ascii="宋体" w:eastAsia="宋体" w:cs="宋体"/>
          <w:color w:val="000000"/>
          <w:sz w:val="24"/>
          <w:szCs w:val="24"/>
          <w:highlight w:val="none"/>
          <w:shd w:val="clear" w:color="auto" w:fill="auto"/>
          <w:lang w:eastAsia="zh-CN"/>
        </w:rPr>
        <w:t>。</w:t>
      </w:r>
    </w:p>
    <w:p w14:paraId="3E4C1872">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3.竞配文件的售价为</w:t>
      </w:r>
      <w:r>
        <w:rPr>
          <w:rFonts w:hint="eastAsia" w:ascii="宋体" w:eastAsia="宋体" w:cs="宋体"/>
          <w:color w:val="000000"/>
          <w:sz w:val="24"/>
          <w:szCs w:val="24"/>
          <w:highlight w:val="none"/>
          <w:u w:val="single"/>
          <w:shd w:val="clear" w:color="auto" w:fill="auto"/>
          <w:lang w:val="en-US" w:eastAsia="zh-CN"/>
        </w:rPr>
        <w:t>500</w:t>
      </w:r>
      <w:r>
        <w:rPr>
          <w:rFonts w:hint="eastAsia" w:ascii="宋体" w:eastAsia="宋体" w:cs="宋体"/>
          <w:color w:val="000000"/>
          <w:sz w:val="24"/>
          <w:szCs w:val="24"/>
          <w:highlight w:val="none"/>
          <w:shd w:val="clear" w:color="auto" w:fill="auto"/>
          <w:lang w:val="en-US" w:eastAsia="zh-CN"/>
        </w:rPr>
        <w:t>元/套，售后不退。</w:t>
      </w:r>
    </w:p>
    <w:p w14:paraId="2834B7F5">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color w:val="000000"/>
          <w:sz w:val="24"/>
          <w:szCs w:val="24"/>
          <w:highlight w:val="none"/>
          <w:shd w:val="clear" w:color="auto" w:fill="auto"/>
        </w:rPr>
      </w:pPr>
      <w:r>
        <w:rPr>
          <w:rFonts w:hint="eastAsia" w:ascii="宋体" w:eastAsia="宋体" w:cs="宋体"/>
          <w:b/>
          <w:bCs/>
          <w:color w:val="000000"/>
          <w:sz w:val="24"/>
          <w:szCs w:val="24"/>
          <w:highlight w:val="none"/>
          <w:shd w:val="clear" w:color="auto" w:fill="auto"/>
          <w:lang w:val="en-US" w:eastAsia="zh-CN"/>
        </w:rPr>
        <w:t>五</w:t>
      </w:r>
      <w:r>
        <w:rPr>
          <w:rFonts w:hint="eastAsia" w:ascii="宋体" w:eastAsia="宋体" w:cs="宋体"/>
          <w:b/>
          <w:bCs/>
          <w:color w:val="000000"/>
          <w:sz w:val="24"/>
          <w:szCs w:val="24"/>
          <w:highlight w:val="none"/>
          <w:shd w:val="clear" w:color="auto" w:fill="auto"/>
        </w:rPr>
        <w:t>、</w:t>
      </w:r>
      <w:r>
        <w:rPr>
          <w:rFonts w:hint="eastAsia" w:ascii="宋体" w:eastAsia="宋体" w:cs="宋体"/>
          <w:b/>
          <w:bCs/>
          <w:color w:val="000000"/>
          <w:sz w:val="24"/>
          <w:szCs w:val="24"/>
          <w:highlight w:val="none"/>
          <w:shd w:val="clear" w:color="auto" w:fill="auto"/>
          <w:lang w:val="en-US" w:eastAsia="zh-CN"/>
        </w:rPr>
        <w:t>竞配</w:t>
      </w:r>
      <w:r>
        <w:rPr>
          <w:rFonts w:hint="eastAsia" w:ascii="宋体" w:eastAsia="宋体" w:cs="宋体"/>
          <w:b/>
          <w:bCs/>
          <w:color w:val="000000"/>
          <w:sz w:val="24"/>
          <w:szCs w:val="24"/>
          <w:highlight w:val="none"/>
          <w:shd w:val="clear" w:color="auto" w:fill="auto"/>
          <w:lang w:eastAsia="zh-CN"/>
        </w:rPr>
        <w:t>申请文件</w:t>
      </w:r>
      <w:r>
        <w:rPr>
          <w:rFonts w:hint="eastAsia" w:ascii="宋体" w:eastAsia="宋体" w:cs="宋体"/>
          <w:b/>
          <w:bCs/>
          <w:color w:val="000000"/>
          <w:sz w:val="24"/>
          <w:szCs w:val="24"/>
          <w:highlight w:val="none"/>
          <w:shd w:val="clear" w:color="auto" w:fill="auto"/>
        </w:rPr>
        <w:t>的提交</w:t>
      </w:r>
    </w:p>
    <w:p w14:paraId="755E783C">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u w:val="single"/>
          <w:shd w:val="clear" w:color="auto" w:fill="auto"/>
          <w:lang w:val="en-US" w:eastAsia="zh-CN"/>
        </w:rPr>
      </w:pP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递交的截止时间为</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11</w:t>
      </w:r>
      <w:r>
        <w:rPr>
          <w:rFonts w:hint="eastAsia" w:ascii="宋体" w:eastAsia="宋体" w:cs="宋体"/>
          <w:color w:val="000000"/>
          <w:sz w:val="24"/>
          <w:szCs w:val="24"/>
          <w:highlight w:val="none"/>
          <w:shd w:val="clear" w:color="auto" w:fill="auto"/>
        </w:rPr>
        <w:t>日</w:t>
      </w:r>
      <w:r>
        <w:rPr>
          <w:rFonts w:hint="eastAsia" w:ascii="宋体" w:eastAsia="宋体" w:cs="宋体"/>
          <w:color w:val="000000"/>
          <w:sz w:val="24"/>
          <w:szCs w:val="24"/>
          <w:highlight w:val="none"/>
          <w:u w:val="single"/>
          <w:shd w:val="clear" w:color="auto" w:fill="auto"/>
          <w:lang w:val="en-US" w:eastAsia="zh-CN"/>
        </w:rPr>
        <w:t>09</w:t>
      </w:r>
      <w:r>
        <w:rPr>
          <w:rFonts w:hint="eastAsia" w:ascii="宋体" w:eastAsia="宋体" w:cs="宋体"/>
          <w:color w:val="000000"/>
          <w:sz w:val="24"/>
          <w:szCs w:val="24"/>
          <w:highlight w:val="none"/>
          <w:u w:val="none"/>
          <w:shd w:val="clear" w:color="auto" w:fill="auto"/>
          <w:lang w:val="en-US" w:eastAsia="zh-CN"/>
        </w:rPr>
        <w:t>时</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分，地点为</w:t>
      </w:r>
      <w:r>
        <w:rPr>
          <w:rFonts w:hint="eastAsia" w:ascii="宋体" w:eastAsia="宋体" w:cs="宋体"/>
          <w:color w:val="000000"/>
          <w:sz w:val="24"/>
          <w:szCs w:val="24"/>
          <w:highlight w:val="none"/>
          <w:u w:val="single"/>
          <w:shd w:val="clear" w:color="auto" w:fill="auto"/>
        </w:rPr>
        <w:t>唐山市丰南区发展和改革局</w:t>
      </w:r>
      <w:r>
        <w:rPr>
          <w:rFonts w:hint="eastAsia" w:ascii="宋体" w:eastAsia="宋体" w:cs="宋体"/>
          <w:color w:val="000000"/>
          <w:sz w:val="24"/>
          <w:szCs w:val="24"/>
          <w:highlight w:val="none"/>
          <w:u w:val="single"/>
          <w:shd w:val="clear" w:color="auto" w:fill="auto"/>
          <w:lang w:val="en-US" w:eastAsia="zh-CN"/>
        </w:rPr>
        <w:t>412办公室。</w:t>
      </w:r>
    </w:p>
    <w:p w14:paraId="1C49D3E8">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hAnsi="宋体" w:eastAsia="宋体" w:cs="宋体"/>
          <w:color w:val="auto"/>
          <w:sz w:val="24"/>
          <w:szCs w:val="24"/>
          <w:highlight w:val="none"/>
          <w:u w:val="single"/>
        </w:rPr>
        <w:t xml:space="preserve"> </w:t>
      </w:r>
      <w:r>
        <w:rPr>
          <w:rFonts w:hint="eastAsia" w:ascii="宋体" w:eastAsia="宋体" w:cs="宋体"/>
          <w:color w:val="000000"/>
          <w:sz w:val="24"/>
          <w:szCs w:val="24"/>
          <w:highlight w:val="none"/>
          <w:shd w:val="clear" w:color="auto" w:fill="auto"/>
        </w:rPr>
        <w:t>。</w:t>
      </w:r>
    </w:p>
    <w:p w14:paraId="1251C57A">
      <w:pPr>
        <w:pStyle w:val="8"/>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逾期送达的或者未送达指定地点的</w:t>
      </w: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w:t>
      </w:r>
      <w:r>
        <w:rPr>
          <w:rFonts w:hint="eastAsia" w:ascii="宋体" w:eastAsia="宋体" w:cs="宋体"/>
          <w:color w:val="000000"/>
          <w:sz w:val="24"/>
          <w:szCs w:val="24"/>
          <w:highlight w:val="none"/>
          <w:shd w:val="clear" w:color="auto" w:fill="auto"/>
          <w:lang w:eastAsia="zh-CN"/>
        </w:rPr>
        <w:t>发包人</w:t>
      </w:r>
      <w:r>
        <w:rPr>
          <w:rFonts w:hint="eastAsia" w:ascii="宋体" w:eastAsia="宋体" w:cs="宋体"/>
          <w:color w:val="000000"/>
          <w:sz w:val="24"/>
          <w:szCs w:val="24"/>
          <w:highlight w:val="none"/>
          <w:shd w:val="clear" w:color="auto" w:fill="auto"/>
        </w:rPr>
        <w:t>不予受理。</w:t>
      </w:r>
    </w:p>
    <w:bookmarkEnd w:id="13"/>
    <w:bookmarkEnd w:id="14"/>
    <w:p w14:paraId="2CC34E6C">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5" w:name="_Toc1267"/>
      <w:bookmarkStart w:id="16" w:name="_Toc14132"/>
      <w:bookmarkStart w:id="17" w:name="_Toc35393626"/>
      <w:bookmarkStart w:id="18" w:name="_Toc35393795"/>
      <w:r>
        <w:rPr>
          <w:rFonts w:hint="eastAsia" w:ascii="宋体" w:eastAsia="宋体" w:cs="宋体"/>
          <w:b/>
          <w:bCs w:val="0"/>
          <w:color w:val="000000"/>
          <w:sz w:val="24"/>
          <w:szCs w:val="24"/>
          <w:highlight w:val="none"/>
          <w:shd w:val="clear" w:color="auto" w:fill="auto"/>
          <w:lang w:val="en-US" w:eastAsia="zh-CN" w:bidi="ar-SA"/>
        </w:rPr>
        <w:t>六、发布公告的媒介</w:t>
      </w:r>
    </w:p>
    <w:p w14:paraId="2B145C87">
      <w:pPr>
        <w:keepNext w:val="0"/>
        <w:keepLines w:val="0"/>
        <w:pageBreakBefore w:val="0"/>
        <w:widowControl w:val="0"/>
        <w:shd w:val="clear" w:color="auto" w:fill="auto"/>
        <w:kinsoku/>
        <w:wordWrap w:val="0"/>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本</w:t>
      </w:r>
      <w:r>
        <w:rPr>
          <w:rFonts w:hint="eastAsia" w:ascii="宋体" w:eastAsia="宋体" w:cs="宋体"/>
          <w:color w:val="000000"/>
          <w:sz w:val="24"/>
          <w:szCs w:val="24"/>
          <w:highlight w:val="none"/>
          <w:shd w:val="clear" w:color="auto" w:fill="auto"/>
          <w:lang w:val="en-US" w:eastAsia="zh-CN"/>
        </w:rPr>
        <w:t>次竞配</w:t>
      </w:r>
      <w:r>
        <w:rPr>
          <w:rFonts w:hint="eastAsia" w:ascii="宋体" w:eastAsia="宋体" w:cs="宋体"/>
          <w:color w:val="000000"/>
          <w:sz w:val="24"/>
          <w:szCs w:val="24"/>
          <w:highlight w:val="none"/>
          <w:shd w:val="clear" w:color="auto" w:fill="auto"/>
        </w:rPr>
        <w:t>公告在</w:t>
      </w:r>
      <w:r>
        <w:rPr>
          <w:rFonts w:hint="eastAsia" w:ascii="宋体" w:eastAsia="宋体" w:cs="宋体"/>
          <w:color w:val="000000"/>
          <w:sz w:val="24"/>
          <w:szCs w:val="24"/>
          <w:highlight w:val="none"/>
          <w:u w:val="single"/>
          <w:shd w:val="clear" w:color="auto" w:fill="auto"/>
          <w:lang w:val="en-US" w:eastAsia="zh-CN"/>
        </w:rPr>
        <w:t>丰南区人民政府网</w:t>
      </w:r>
      <w:r>
        <w:rPr>
          <w:rFonts w:hint="eastAsia" w:ascii="宋体" w:eastAsia="宋体" w:cs="宋体"/>
          <w:color w:val="000000"/>
          <w:sz w:val="24"/>
          <w:szCs w:val="24"/>
          <w:highlight w:val="none"/>
          <w:shd w:val="clear" w:color="auto" w:fill="auto"/>
        </w:rPr>
        <w:t>上发布。</w:t>
      </w:r>
    </w:p>
    <w:bookmarkEnd w:id="15"/>
    <w:bookmarkEnd w:id="16"/>
    <w:bookmarkEnd w:id="17"/>
    <w:bookmarkEnd w:id="18"/>
    <w:p w14:paraId="5B0F1C4E">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9" w:name="_Toc18212"/>
      <w:r>
        <w:rPr>
          <w:rFonts w:hint="eastAsia" w:ascii="宋体" w:eastAsia="宋体" w:cs="宋体"/>
          <w:b/>
          <w:bCs w:val="0"/>
          <w:color w:val="000000"/>
          <w:sz w:val="24"/>
          <w:szCs w:val="24"/>
          <w:highlight w:val="none"/>
          <w:shd w:val="clear" w:color="auto" w:fill="auto"/>
          <w:lang w:val="en-US" w:eastAsia="zh-CN" w:bidi="ar-SA"/>
        </w:rPr>
        <w:t>七、联系方式</w:t>
      </w:r>
    </w:p>
    <w:bookmarkEnd w:id="19"/>
    <w:p w14:paraId="7DDA6D83">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1、配置单位</w:t>
      </w:r>
    </w:p>
    <w:p w14:paraId="06D51AC5">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发包</w:t>
      </w:r>
      <w:r>
        <w:rPr>
          <w:rFonts w:hint="eastAsia" w:ascii="宋体" w:eastAsia="宋体" w:cs="宋体"/>
          <w:color w:val="000000"/>
          <w:sz w:val="24"/>
          <w:szCs w:val="24"/>
          <w:highlight w:val="none"/>
          <w:shd w:val="clear" w:color="auto" w:fill="auto"/>
        </w:rPr>
        <w:t>人：唐山市丰南区发展和改革局</w:t>
      </w:r>
    </w:p>
    <w:p w14:paraId="3FF954DF">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rPr>
        <w:t>地</w:t>
      </w:r>
      <w:r>
        <w:rPr>
          <w:rFonts w:hint="eastAsia" w:ascii="宋体" w:eastAsia="宋体" w:cs="宋体"/>
          <w:color w:val="000000"/>
          <w:sz w:val="24"/>
          <w:szCs w:val="24"/>
          <w:highlight w:val="none"/>
          <w:shd w:val="clear" w:color="auto" w:fill="auto"/>
          <w:lang w:val="en-US" w:eastAsia="zh-CN"/>
        </w:rPr>
        <w:t xml:space="preserve">  </w:t>
      </w:r>
      <w:r>
        <w:rPr>
          <w:rFonts w:hint="eastAsia" w:ascii="宋体" w:eastAsia="宋体" w:cs="宋体"/>
          <w:color w:val="000000"/>
          <w:sz w:val="24"/>
          <w:szCs w:val="24"/>
          <w:highlight w:val="none"/>
          <w:shd w:val="clear" w:color="auto" w:fill="auto"/>
        </w:rPr>
        <w:t>址：唐山市丰南区正苑大街9号</w:t>
      </w:r>
      <w:r>
        <w:rPr>
          <w:rFonts w:hint="eastAsia" w:ascii="宋体" w:eastAsia="宋体" w:cs="宋体"/>
          <w:color w:val="000000"/>
          <w:sz w:val="24"/>
          <w:szCs w:val="24"/>
          <w:highlight w:val="none"/>
          <w:shd w:val="clear" w:color="auto" w:fill="auto"/>
        </w:rPr>
        <w:tab/>
      </w:r>
    </w:p>
    <w:p w14:paraId="3955CE97">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rPr>
        <w:t>联系方式</w:t>
      </w:r>
      <w:bookmarkStart w:id="20" w:name="_Toc35393807"/>
      <w:bookmarkStart w:id="21" w:name="_Toc35393638"/>
      <w:bookmarkStart w:id="22" w:name="_Toc28359020"/>
      <w:bookmarkStart w:id="23" w:name="_Toc28359097"/>
      <w:r>
        <w:rPr>
          <w:rFonts w:hint="eastAsia" w:ascii="宋体" w:eastAsia="宋体" w:cs="宋体"/>
          <w:color w:val="000000"/>
          <w:sz w:val="24"/>
          <w:szCs w:val="24"/>
          <w:highlight w:val="none"/>
          <w:shd w:val="clear" w:color="auto" w:fill="auto"/>
          <w:lang w:eastAsia="zh-CN"/>
        </w:rPr>
        <w:t>：</w:t>
      </w:r>
      <w:bookmarkEnd w:id="20"/>
      <w:bookmarkEnd w:id="21"/>
      <w:bookmarkEnd w:id="22"/>
      <w:bookmarkEnd w:id="23"/>
      <w:r>
        <w:rPr>
          <w:rFonts w:hint="eastAsia" w:ascii="宋体" w:eastAsia="宋体" w:cs="宋体"/>
          <w:color w:val="000000"/>
          <w:sz w:val="24"/>
          <w:szCs w:val="24"/>
          <w:highlight w:val="none"/>
          <w:shd w:val="clear" w:color="auto" w:fill="auto"/>
          <w:lang w:val="en-US" w:eastAsia="zh-CN"/>
        </w:rPr>
        <w:t>田多娇 0315-8180040</w:t>
      </w:r>
    </w:p>
    <w:p w14:paraId="2F9642C1">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2、代理单位</w:t>
      </w:r>
    </w:p>
    <w:p w14:paraId="170C309C">
      <w:pPr>
        <w:pStyle w:val="3"/>
        <w:keepNext w:val="0"/>
        <w:keepLines w:val="0"/>
        <w:pageBreakBefore w:val="0"/>
        <w:widowControl w:val="0"/>
        <w:tabs>
          <w:tab w:val="left" w:pos="576"/>
          <w:tab w:val="left" w:pos="624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名    称：唐山鑫源工程项目管理有限公司</w:t>
      </w:r>
      <w:r>
        <w:rPr>
          <w:rFonts w:hint="eastAsia" w:ascii="宋体" w:hAnsi="宋体" w:eastAsia="宋体" w:cs="宋体"/>
          <w:b w:val="0"/>
          <w:bCs w:val="0"/>
          <w:color w:val="000000"/>
          <w:sz w:val="24"/>
          <w:szCs w:val="24"/>
          <w:highlight w:val="none"/>
          <w:u w:val="none"/>
          <w:lang w:val="en-US" w:eastAsia="zh-CN" w:bidi="ar-SA"/>
        </w:rPr>
        <w:tab/>
      </w:r>
    </w:p>
    <w:p w14:paraId="7CA32DE1">
      <w:pPr>
        <w:pStyle w:val="3"/>
        <w:keepNext w:val="0"/>
        <w:keepLines w:val="0"/>
        <w:pageBreakBefore w:val="0"/>
        <w:widowControl w:val="0"/>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地　　址：丰南区双湖锦苑商业清源街56-3号</w:t>
      </w:r>
    </w:p>
    <w:p w14:paraId="5485BC3D">
      <w:pPr>
        <w:pStyle w:val="3"/>
        <w:keepNext w:val="0"/>
        <w:keepLines w:val="0"/>
        <w:pageBreakBefore w:val="0"/>
        <w:widowControl w:val="0"/>
        <w:shd w:val="clear" w:color="auto" w:fill="auto"/>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联系方式：窦静 18617536886、0315-8366886</w:t>
      </w:r>
    </w:p>
    <w:p w14:paraId="29C9B68A"/>
    <w:sectPr>
      <w:pgSz w:w="11906" w:h="16838"/>
      <w:pgMar w:top="1440" w:right="1800" w:bottom="1440" w:left="1800" w:header="851" w:footer="992" w:gutter="0"/>
      <w:cols w:space="720" w:num="1"/>
      <w:docGrid w:type="line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04ED3EF7"/>
    <w:rsid w:val="77F04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widowControl w:val="0"/>
      <w:autoSpaceDE w:val="0"/>
      <w:autoSpaceDN w:val="0"/>
      <w:spacing w:before="163" w:after="0" w:line="240" w:lineRule="auto"/>
      <w:ind w:left="100" w:right="0"/>
      <w:jc w:val="left"/>
      <w:outlineLvl w:val="2"/>
    </w:pPr>
    <w:rPr>
      <w:rFonts w:ascii="微软雅黑" w:hAnsi="微软雅黑" w:eastAsia="微软雅黑" w:cs="微软雅黑"/>
      <w:b/>
      <w:bCs/>
      <w:sz w:val="36"/>
      <w:szCs w:val="36"/>
      <w:lang w:val="en-US" w:bidi="ar-SA"/>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E6C5F45-D8E1-4E62-A8A2-4B3156FC6CBC}">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Pages>
  <Words>814</Words>
  <Characters>900</Characters>
  <Lines>0</Lines>
  <Paragraphs>32</Paragraphs>
  <TotalTime>0</TotalTime>
  <ScaleCrop>false</ScaleCrop>
  <LinksUpToDate>false</LinksUpToDate>
  <CharactersWithSpaces>917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2025-08-25T08:27:39Z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eyJoZGlkIjoiNjVjZWQ2Y2U5NTFkMDIyMjA5ODRjYzc4YTEwNGE4ZTUifQ==</vt:lpwstr>
  </property>
  <property fmtid="{D5CDD505-2E9C-101B-9397-08002B2CF9AE}" pid="3" name="KSOProductBuildVer">
    <vt:lpwstr>2052-12.1.0.22529</vt:lpwstr>
  </property>
  <property fmtid="{D5CDD505-2E9C-101B-9397-08002B2CF9AE}" pid="4" name="ICV">
    <vt:lpwstr>71430AE7432C4EF1952CB4DE7A9A988B_12</vt:lpwstr>
  </property>
</Properties>
</file>